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6"/>
        <w:jc w:val="center"/>
        <w:rPr>
          <w:rFonts w:hint="default" w:asciiTheme="majorEastAsia" w:hAnsiTheme="majorEastAsia" w:eastAsiaTheme="majorEastAsia"/>
          <w:sz w:val="40"/>
          <w:szCs w:val="40"/>
          <w:lang w:val="en-US" w:eastAsia="zh-CN"/>
        </w:rPr>
      </w:pPr>
      <w:r>
        <w:rPr>
          <w:rFonts w:hint="eastAsia" w:asciiTheme="majorEastAsia" w:hAnsiTheme="majorEastAsia" w:eastAsiaTheme="majorEastAsia"/>
          <w:b/>
          <w:bCs/>
          <w:sz w:val="36"/>
          <w:szCs w:val="36"/>
          <w:lang w:val="en-US" w:eastAsia="zh-CN"/>
        </w:rPr>
        <w:t>自定义协议使用指南</w:t>
      </w:r>
      <w:bookmarkStart w:id="20" w:name="_GoBack"/>
      <w:bookmarkEnd w:id="20"/>
    </w:p>
    <w:sdt>
      <w:sdtPr>
        <w:rPr>
          <w:rFonts w:ascii="宋体" w:hAnsi="宋体" w:eastAsia="宋体" w:cs="Noto Sans Mono CJK JP Bold"/>
          <w:kern w:val="0"/>
          <w:sz w:val="21"/>
          <w:szCs w:val="22"/>
          <w:lang w:val="en-US" w:eastAsia="zh-CN" w:bidi="ar-SA"/>
        </w:rPr>
        <w:id w:val="147456374"/>
        <w15:color w:val="DBDBDB"/>
        <w:docPartObj>
          <w:docPartGallery w:val="Table of Contents"/>
          <w:docPartUnique/>
        </w:docPartObj>
      </w:sdtPr>
      <w:sdtEndPr>
        <w:rPr>
          <w:rFonts w:hint="eastAsia" w:cs="Noto Sans Mono CJK JP Bold" w:asciiTheme="majorEastAsia" w:hAnsiTheme="majorEastAsia" w:eastAsiaTheme="majorEastAsia"/>
          <w:bCs/>
          <w:kern w:val="0"/>
          <w:sz w:val="21"/>
          <w:szCs w:val="28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b/>
              <w:bCs/>
              <w:sz w:val="40"/>
              <w:szCs w:val="40"/>
            </w:rPr>
          </w:pPr>
          <w:bookmarkStart w:id="0" w:name="_Hlk72481014"/>
          <w:r>
            <w:rPr>
              <w:rFonts w:ascii="宋体" w:hAnsi="宋体" w:eastAsia="宋体"/>
              <w:b/>
              <w:bCs/>
              <w:sz w:val="36"/>
              <w:szCs w:val="40"/>
            </w:rPr>
            <w:t>目录</w:t>
          </w:r>
        </w:p>
        <w:p>
          <w:pPr>
            <w:pStyle w:val="6"/>
            <w:tabs>
              <w:tab w:val="right" w:leader="dot" w:pos="10772"/>
            </w:tabs>
            <w:rPr>
              <w:sz w:val="28"/>
              <w:szCs w:val="28"/>
            </w:rPr>
          </w:pPr>
          <w:r>
            <w:rPr>
              <w:rFonts w:hint="eastAsia" w:asciiTheme="majorEastAsia" w:hAnsiTheme="majorEastAsia" w:eastAsiaTheme="majorEastAsia"/>
              <w:b/>
              <w:bCs/>
              <w:sz w:val="36"/>
              <w:szCs w:val="36"/>
              <w:lang w:val="en-US" w:eastAsia="zh-CN"/>
            </w:rPr>
            <w:fldChar w:fldCharType="begin"/>
          </w:r>
          <w:r>
            <w:rPr>
              <w:rFonts w:hint="eastAsia" w:asciiTheme="majorEastAsia" w:hAnsiTheme="majorEastAsia" w:eastAsiaTheme="majorEastAsia"/>
              <w:b/>
              <w:bCs/>
              <w:sz w:val="36"/>
              <w:szCs w:val="36"/>
              <w:lang w:val="en-US" w:eastAsia="zh-CN"/>
            </w:rPr>
            <w:instrText xml:space="preserve">TOC \o "1-3" \h \u </w:instrText>
          </w:r>
          <w:r>
            <w:rPr>
              <w:rFonts w:hint="eastAsia" w:asciiTheme="majorEastAsia" w:hAnsiTheme="majorEastAsia" w:eastAsiaTheme="majorEastAsia"/>
              <w:b/>
              <w:bCs/>
              <w:sz w:val="36"/>
              <w:szCs w:val="36"/>
              <w:lang w:val="en-US" w:eastAsia="zh-CN"/>
            </w:rPr>
            <w:fldChar w:fldCharType="separate"/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begin"/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instrText xml:space="preserve"> HYPERLINK \l _Toc24400 </w:instrText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separate"/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t>一、</w:t>
          </w:r>
          <w:r>
            <w:rPr>
              <w:rFonts w:asciiTheme="majorEastAsia" w:hAnsiTheme="majorEastAsia" w:eastAsiaTheme="majorEastAsia"/>
              <w:bCs/>
              <w:sz w:val="28"/>
              <w:szCs w:val="36"/>
            </w:rPr>
            <w:t>提示</w:t>
          </w:r>
          <w:r>
            <w:rPr>
              <w:rFonts w:asciiTheme="majorEastAsia" w:hAnsiTheme="majorEastAsia" w:eastAsiaTheme="majorEastAsia"/>
              <w:sz w:val="28"/>
              <w:szCs w:val="36"/>
            </w:rPr>
            <w:t>：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_Toc24400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</w:t>
          </w:r>
          <w:r>
            <w:rPr>
              <w:sz w:val="28"/>
              <w:szCs w:val="28"/>
            </w:rPr>
            <w:fldChar w:fldCharType="end"/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10772"/>
            </w:tabs>
            <w:rPr>
              <w:sz w:val="28"/>
              <w:szCs w:val="28"/>
            </w:rPr>
          </w:pP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begin"/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instrText xml:space="preserve"> HYPERLINK \l _Toc21145 </w:instrText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separate"/>
          </w:r>
          <w:r>
            <w:rPr>
              <w:rFonts w:cs="宋体" w:asciiTheme="majorEastAsia" w:hAnsiTheme="majorEastAsia" w:eastAsiaTheme="majorEastAsia"/>
              <w:sz w:val="28"/>
              <w:szCs w:val="36"/>
            </w:rPr>
            <w:t>1</w:t>
          </w:r>
          <w:r>
            <w:rPr>
              <w:rFonts w:hint="eastAsia" w:cs="宋体" w:asciiTheme="majorEastAsia" w:hAnsiTheme="majorEastAsia" w:eastAsiaTheme="majorEastAsia"/>
              <w:sz w:val="28"/>
              <w:szCs w:val="36"/>
            </w:rPr>
            <w:t>，正确地使用自定义协议与控制器通讯，依赖于使用者对通讯协议的熟练程度；建议使用自定义协议前，</w:t>
          </w:r>
          <w:r>
            <w:rPr>
              <w:rFonts w:cs="宋体" w:asciiTheme="majorEastAsia" w:hAnsiTheme="majorEastAsia" w:eastAsiaTheme="majorEastAsia"/>
              <w:sz w:val="28"/>
              <w:szCs w:val="36"/>
            </w:rPr>
            <w:t xml:space="preserve"> </w:t>
          </w:r>
          <w:r>
            <w:rPr>
              <w:rFonts w:hint="eastAsia" w:cs="宋体" w:asciiTheme="majorEastAsia" w:hAnsiTheme="majorEastAsia" w:eastAsiaTheme="majorEastAsia"/>
              <w:sz w:val="28"/>
              <w:szCs w:val="36"/>
            </w:rPr>
            <w:t>熟读控制器的通讯协议；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_Toc21145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</w:t>
          </w:r>
          <w:r>
            <w:rPr>
              <w:sz w:val="28"/>
              <w:szCs w:val="28"/>
            </w:rPr>
            <w:fldChar w:fldCharType="end"/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10772"/>
            </w:tabs>
            <w:rPr>
              <w:sz w:val="28"/>
              <w:szCs w:val="28"/>
            </w:rPr>
          </w:pP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begin"/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instrText xml:space="preserve"> HYPERLINK \l _Toc1280 </w:instrText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separate"/>
          </w:r>
          <w:r>
            <w:rPr>
              <w:rFonts w:cs="宋体" w:asciiTheme="majorEastAsia" w:hAnsiTheme="majorEastAsia" w:eastAsiaTheme="majorEastAsia"/>
              <w:sz w:val="28"/>
              <w:szCs w:val="36"/>
            </w:rPr>
            <w:t>2，本文件后续描述的自定义协议设置基于标准 MODBUS RTU 通讯协议。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_Toc1280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</w:t>
          </w:r>
          <w:r>
            <w:rPr>
              <w:sz w:val="28"/>
              <w:szCs w:val="28"/>
            </w:rPr>
            <w:fldChar w:fldCharType="end"/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end"/>
          </w:r>
        </w:p>
        <w:p>
          <w:pPr>
            <w:pStyle w:val="6"/>
            <w:tabs>
              <w:tab w:val="right" w:leader="dot" w:pos="10772"/>
            </w:tabs>
            <w:rPr>
              <w:sz w:val="28"/>
              <w:szCs w:val="28"/>
            </w:rPr>
          </w:pP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begin"/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instrText xml:space="preserve"> HYPERLINK \l _Toc30129 </w:instrText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separate"/>
          </w:r>
          <w:r>
            <w:rPr>
              <w:rFonts w:hint="eastAsia" w:cs="宋体" w:asciiTheme="majorEastAsia" w:hAnsiTheme="majorEastAsia" w:eastAsiaTheme="majorEastAsia"/>
              <w:bCs/>
              <w:sz w:val="28"/>
              <w:szCs w:val="36"/>
              <w:lang w:val="en-US" w:eastAsia="zh-CN"/>
            </w:rPr>
            <w:t>二、</w:t>
          </w:r>
          <w:r>
            <w:rPr>
              <w:rFonts w:cs="宋体" w:asciiTheme="majorEastAsia" w:hAnsiTheme="majorEastAsia" w:eastAsiaTheme="majorEastAsia"/>
              <w:bCs/>
              <w:sz w:val="28"/>
              <w:szCs w:val="36"/>
            </w:rPr>
            <w:t>通讯设置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_Toc30129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</w:t>
          </w:r>
          <w:r>
            <w:rPr>
              <w:sz w:val="28"/>
              <w:szCs w:val="28"/>
            </w:rPr>
            <w:fldChar w:fldCharType="end"/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10772"/>
            </w:tabs>
            <w:rPr>
              <w:sz w:val="28"/>
              <w:szCs w:val="28"/>
            </w:rPr>
          </w:pP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begin"/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instrText xml:space="preserve"> HYPERLINK \l _Toc17885 </w:instrText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separate"/>
          </w:r>
          <w:r>
            <w:rPr>
              <w:rFonts w:cs="宋体" w:asciiTheme="majorEastAsia" w:hAnsiTheme="majorEastAsia" w:eastAsiaTheme="majorEastAsia"/>
              <w:sz w:val="28"/>
              <w:szCs w:val="36"/>
            </w:rPr>
            <w:t>1，</w:t>
          </w:r>
          <w:r>
            <w:rPr>
              <w:rFonts w:hint="eastAsia" w:cs="宋体" w:asciiTheme="majorEastAsia" w:hAnsiTheme="majorEastAsia" w:eastAsiaTheme="majorEastAsia"/>
              <w:sz w:val="28"/>
              <w:szCs w:val="36"/>
            </w:rPr>
            <w:t>在协议选择窗口中，选择</w:t>
          </w:r>
          <w:r>
            <w:rPr>
              <w:rFonts w:cs="宋体" w:asciiTheme="majorEastAsia" w:hAnsiTheme="majorEastAsia" w:eastAsiaTheme="majorEastAsia"/>
              <w:sz w:val="28"/>
              <w:szCs w:val="36"/>
            </w:rPr>
            <w:t>“Custom_User”;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_Toc17885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</w:t>
          </w:r>
          <w:r>
            <w:rPr>
              <w:sz w:val="28"/>
              <w:szCs w:val="28"/>
            </w:rPr>
            <w:fldChar w:fldCharType="end"/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10772"/>
            </w:tabs>
            <w:rPr>
              <w:sz w:val="28"/>
              <w:szCs w:val="28"/>
            </w:rPr>
          </w:pP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begin"/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instrText xml:space="preserve"> HYPERLINK \l _Toc206 </w:instrText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separate"/>
          </w:r>
          <w:r>
            <w:rPr>
              <w:rFonts w:cs="宋体" w:asciiTheme="majorEastAsia" w:hAnsiTheme="majorEastAsia" w:eastAsiaTheme="majorEastAsia"/>
              <w:sz w:val="28"/>
              <w:szCs w:val="36"/>
            </w:rPr>
            <w:t>3，将 Modbus 线圈地址 0x0000 – 0x0007 连续 8 个线圈的状态值读出来，并存放在 HMI 内部 LB[8-15]位寄存器。操作步骤、设置效果图如下：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_Toc206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3</w:t>
          </w:r>
          <w:r>
            <w:rPr>
              <w:sz w:val="28"/>
              <w:szCs w:val="28"/>
            </w:rPr>
            <w:fldChar w:fldCharType="end"/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end"/>
          </w:r>
        </w:p>
        <w:p>
          <w:pPr>
            <w:pStyle w:val="3"/>
            <w:tabs>
              <w:tab w:val="right" w:leader="dot" w:pos="10772"/>
            </w:tabs>
            <w:rPr>
              <w:sz w:val="28"/>
              <w:szCs w:val="28"/>
            </w:rPr>
          </w:pP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begin"/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instrText xml:space="preserve"> HYPERLINK \l _Toc22289 </w:instrText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separate"/>
          </w:r>
          <w:r>
            <w:rPr>
              <w:rFonts w:hint="eastAsia" w:cs="宋体" w:asciiTheme="majorEastAsia" w:hAnsiTheme="majorEastAsia" w:eastAsiaTheme="majorEastAsia"/>
              <w:sz w:val="28"/>
              <w:szCs w:val="36"/>
            </w:rPr>
            <w:t>操作效果图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_Toc22289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4</w:t>
          </w:r>
          <w:r>
            <w:rPr>
              <w:sz w:val="28"/>
              <w:szCs w:val="28"/>
            </w:rPr>
            <w:fldChar w:fldCharType="end"/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10772"/>
            </w:tabs>
            <w:rPr>
              <w:sz w:val="28"/>
              <w:szCs w:val="28"/>
            </w:rPr>
          </w:pP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begin"/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instrText xml:space="preserve"> HYPERLINK \l _Toc25271 </w:instrText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separate"/>
          </w:r>
          <w:r>
            <w:rPr>
              <w:rFonts w:cs="宋体" w:asciiTheme="majorEastAsia" w:hAnsiTheme="majorEastAsia" w:eastAsiaTheme="majorEastAsia"/>
              <w:sz w:val="28"/>
              <w:szCs w:val="36"/>
            </w:rPr>
            <w:t>4，将 LB[0-7] 8 个位寄存器的值分别写入到 Modbus 的线圈地址 0x0000-0x0007；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_Toc25271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5</w:t>
          </w:r>
          <w:r>
            <w:rPr>
              <w:sz w:val="28"/>
              <w:szCs w:val="28"/>
            </w:rPr>
            <w:fldChar w:fldCharType="end"/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end"/>
          </w:r>
        </w:p>
        <w:p>
          <w:pPr>
            <w:pStyle w:val="3"/>
            <w:tabs>
              <w:tab w:val="right" w:leader="dot" w:pos="10772"/>
            </w:tabs>
            <w:rPr>
              <w:sz w:val="28"/>
              <w:szCs w:val="28"/>
            </w:rPr>
          </w:pP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begin"/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instrText xml:space="preserve"> HYPERLINK \l _Toc26980 </w:instrText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separate"/>
          </w:r>
          <w:r>
            <w:rPr>
              <w:rFonts w:cs="宋体" w:asciiTheme="majorEastAsia" w:hAnsiTheme="majorEastAsia" w:eastAsiaTheme="majorEastAsia"/>
              <w:sz w:val="28"/>
              <w:szCs w:val="36"/>
            </w:rPr>
            <w:t>设置效果图</w:t>
          </w:r>
          <w:r>
            <w:rPr>
              <w:rFonts w:hint="eastAsia" w:cs="宋体" w:asciiTheme="majorEastAsia" w:hAnsiTheme="majorEastAsia" w:eastAsiaTheme="majorEastAsia"/>
              <w:sz w:val="28"/>
              <w:szCs w:val="36"/>
            </w:rPr>
            <w:t>：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_Toc26980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6</w:t>
          </w:r>
          <w:r>
            <w:rPr>
              <w:sz w:val="28"/>
              <w:szCs w:val="28"/>
            </w:rPr>
            <w:fldChar w:fldCharType="end"/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10772"/>
            </w:tabs>
            <w:rPr>
              <w:sz w:val="28"/>
              <w:szCs w:val="28"/>
            </w:rPr>
          </w:pP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begin"/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instrText xml:space="preserve"> HYPERLINK \l _Toc6577 </w:instrText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separate"/>
          </w:r>
          <w:r>
            <w:rPr>
              <w:rFonts w:cs="宋体" w:asciiTheme="majorEastAsia" w:hAnsiTheme="majorEastAsia" w:eastAsiaTheme="majorEastAsia"/>
              <w:sz w:val="28"/>
              <w:szCs w:val="36"/>
            </w:rPr>
            <w:t>5，HMI的8个位寄存器与PLC的8个线圈绑定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_Toc6577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7</w:t>
          </w:r>
          <w:r>
            <w:rPr>
              <w:sz w:val="28"/>
              <w:szCs w:val="28"/>
            </w:rPr>
            <w:fldChar w:fldCharType="end"/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end"/>
          </w:r>
        </w:p>
        <w:p>
          <w:pPr>
            <w:pStyle w:val="3"/>
            <w:tabs>
              <w:tab w:val="right" w:leader="dot" w:pos="10772"/>
            </w:tabs>
            <w:rPr>
              <w:sz w:val="28"/>
              <w:szCs w:val="28"/>
            </w:rPr>
          </w:pP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begin"/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instrText xml:space="preserve"> HYPERLINK \l _Toc14396 </w:instrText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separate"/>
          </w:r>
          <w:r>
            <w:rPr>
              <w:rFonts w:cs="宋体" w:asciiTheme="majorEastAsia" w:hAnsiTheme="majorEastAsia" w:eastAsiaTheme="majorEastAsia"/>
              <w:sz w:val="28"/>
              <w:szCs w:val="36"/>
            </w:rPr>
            <w:t>设置如</w:t>
          </w:r>
          <w:r>
            <w:rPr>
              <w:rFonts w:hint="eastAsia" w:cs="宋体" w:asciiTheme="majorEastAsia" w:hAnsiTheme="majorEastAsia" w:eastAsiaTheme="majorEastAsia"/>
              <w:sz w:val="28"/>
              <w:szCs w:val="36"/>
            </w:rPr>
            <w:t>下</w:t>
          </w:r>
          <w:r>
            <w:rPr>
              <w:rFonts w:cs="宋体" w:asciiTheme="majorEastAsia" w:hAnsiTheme="majorEastAsia" w:eastAsiaTheme="majorEastAsia"/>
              <w:sz w:val="28"/>
              <w:szCs w:val="36"/>
            </w:rPr>
            <w:t>图：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_Toc14396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7</w:t>
          </w:r>
          <w:r>
            <w:rPr>
              <w:sz w:val="28"/>
              <w:szCs w:val="28"/>
            </w:rPr>
            <w:fldChar w:fldCharType="end"/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10772"/>
            </w:tabs>
            <w:rPr>
              <w:sz w:val="28"/>
              <w:szCs w:val="28"/>
            </w:rPr>
          </w:pP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begin"/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instrText xml:space="preserve"> HYPERLINK \l _Toc6388 </w:instrText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separate"/>
          </w:r>
          <w:r>
            <w:rPr>
              <w:rFonts w:cs="宋体" w:asciiTheme="majorEastAsia" w:hAnsiTheme="majorEastAsia" w:eastAsiaTheme="majorEastAsia"/>
              <w:sz w:val="28"/>
              <w:szCs w:val="36"/>
            </w:rPr>
            <w:t>6，HMI字寄存器地址LW[0-7]绑定到PLC地址4x0000-4x0007。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_Toc6388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8</w:t>
          </w:r>
          <w:r>
            <w:rPr>
              <w:sz w:val="28"/>
              <w:szCs w:val="28"/>
            </w:rPr>
            <w:fldChar w:fldCharType="end"/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end"/>
          </w:r>
        </w:p>
        <w:p>
          <w:pPr>
            <w:pStyle w:val="3"/>
            <w:tabs>
              <w:tab w:val="right" w:leader="dot" w:pos="10772"/>
            </w:tabs>
            <w:rPr>
              <w:sz w:val="28"/>
              <w:szCs w:val="28"/>
            </w:rPr>
          </w:pP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begin"/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instrText xml:space="preserve"> HYPERLINK \l _Toc8630 </w:instrText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separate"/>
          </w:r>
          <w:r>
            <w:rPr>
              <w:rFonts w:hint="eastAsia" w:cs="宋体" w:asciiTheme="majorEastAsia" w:hAnsiTheme="majorEastAsia" w:eastAsiaTheme="majorEastAsia"/>
              <w:sz w:val="28"/>
              <w:szCs w:val="36"/>
            </w:rPr>
            <w:t>操作步骤【读命令】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_Toc8630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8</w:t>
          </w:r>
          <w:r>
            <w:rPr>
              <w:sz w:val="28"/>
              <w:szCs w:val="28"/>
            </w:rPr>
            <w:fldChar w:fldCharType="end"/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end"/>
          </w:r>
        </w:p>
        <w:p>
          <w:pPr>
            <w:pStyle w:val="3"/>
            <w:tabs>
              <w:tab w:val="right" w:leader="dot" w:pos="10772"/>
            </w:tabs>
            <w:rPr>
              <w:sz w:val="28"/>
              <w:szCs w:val="28"/>
            </w:rPr>
          </w:pP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begin"/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instrText xml:space="preserve"> HYPERLINK \l _Toc9954 </w:instrText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separate"/>
          </w:r>
          <w:r>
            <w:rPr>
              <w:rFonts w:cs="宋体" w:asciiTheme="majorEastAsia" w:hAnsiTheme="majorEastAsia" w:eastAsiaTheme="majorEastAsia"/>
              <w:sz w:val="28"/>
              <w:szCs w:val="36"/>
            </w:rPr>
            <w:t>设置效果图【读命令】：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_Toc9954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9</w:t>
          </w:r>
          <w:r>
            <w:rPr>
              <w:sz w:val="28"/>
              <w:szCs w:val="28"/>
            </w:rPr>
            <w:fldChar w:fldCharType="end"/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end"/>
          </w:r>
        </w:p>
        <w:p>
          <w:pPr>
            <w:pStyle w:val="3"/>
            <w:tabs>
              <w:tab w:val="right" w:leader="dot" w:pos="10772"/>
            </w:tabs>
            <w:rPr>
              <w:sz w:val="28"/>
              <w:szCs w:val="28"/>
            </w:rPr>
          </w:pP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begin"/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instrText xml:space="preserve"> HYPERLINK \l _Toc6265 </w:instrText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separate"/>
          </w:r>
          <w:r>
            <w:rPr>
              <w:rFonts w:hint="eastAsia" w:cs="宋体" w:asciiTheme="majorEastAsia" w:hAnsiTheme="majorEastAsia" w:eastAsiaTheme="majorEastAsia"/>
              <w:sz w:val="28"/>
              <w:szCs w:val="36"/>
            </w:rPr>
            <w:t>操作步骤【写命令】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_Toc6265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10</w:t>
          </w:r>
          <w:r>
            <w:rPr>
              <w:sz w:val="28"/>
              <w:szCs w:val="28"/>
            </w:rPr>
            <w:fldChar w:fldCharType="end"/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end"/>
          </w:r>
        </w:p>
        <w:p>
          <w:pPr>
            <w:pStyle w:val="3"/>
            <w:tabs>
              <w:tab w:val="right" w:leader="dot" w:pos="10772"/>
            </w:tabs>
            <w:rPr>
              <w:sz w:val="28"/>
              <w:szCs w:val="28"/>
            </w:rPr>
          </w:pP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begin"/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instrText xml:space="preserve"> HYPERLINK \l _Toc25101 </w:instrText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separate"/>
          </w:r>
          <w:r>
            <w:rPr>
              <w:rFonts w:hint="eastAsia" w:cs="宋体" w:asciiTheme="majorEastAsia" w:hAnsiTheme="majorEastAsia" w:eastAsiaTheme="majorEastAsia"/>
              <w:sz w:val="28"/>
              <w:szCs w:val="36"/>
              <w:lang w:val="en-US" w:eastAsia="zh-CN"/>
            </w:rPr>
            <w:t>操作效果图【写命令】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_Toc25101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11</w:t>
          </w:r>
          <w:r>
            <w:rPr>
              <w:sz w:val="28"/>
              <w:szCs w:val="28"/>
            </w:rPr>
            <w:fldChar w:fldCharType="end"/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10772"/>
            </w:tabs>
            <w:rPr>
              <w:sz w:val="28"/>
              <w:szCs w:val="28"/>
            </w:rPr>
          </w:pP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begin"/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instrText xml:space="preserve"> HYPERLINK \l _Toc1332 </w:instrText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separate"/>
          </w:r>
          <w:r>
            <w:rPr>
              <w:rFonts w:cs="宋体" w:asciiTheme="majorEastAsia" w:hAnsiTheme="majorEastAsia" w:eastAsiaTheme="majorEastAsia"/>
              <w:sz w:val="28"/>
              <w:szCs w:val="36"/>
            </w:rPr>
            <w:t>7，将LW8-LW15字寄存器的值一次全部写入到PLC控制器的4x0008-4x000F地址--批量数据写操作。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_Toc1332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13</w:t>
          </w:r>
          <w:r>
            <w:rPr>
              <w:sz w:val="28"/>
              <w:szCs w:val="28"/>
            </w:rPr>
            <w:fldChar w:fldCharType="end"/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end"/>
          </w:r>
        </w:p>
        <w:p>
          <w:pPr>
            <w:pStyle w:val="3"/>
            <w:tabs>
              <w:tab w:val="right" w:leader="dot" w:pos="10772"/>
            </w:tabs>
            <w:rPr>
              <w:sz w:val="28"/>
              <w:szCs w:val="28"/>
            </w:rPr>
          </w:pP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begin"/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instrText xml:space="preserve"> HYPERLINK \l _Toc19272 </w:instrText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separate"/>
          </w:r>
          <w:r>
            <w:rPr>
              <w:rFonts w:cs="宋体" w:asciiTheme="majorEastAsia" w:hAnsiTheme="majorEastAsia" w:eastAsiaTheme="majorEastAsia"/>
              <w:sz w:val="28"/>
              <w:szCs w:val="36"/>
            </w:rPr>
            <w:t>操作步骤【写命令】：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_Toc19272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13</w:t>
          </w:r>
          <w:r>
            <w:rPr>
              <w:sz w:val="28"/>
              <w:szCs w:val="28"/>
            </w:rPr>
            <w:fldChar w:fldCharType="end"/>
          </w:r>
          <w:r>
            <w:rPr>
              <w:rFonts w:hint="eastAsia" w:asciiTheme="majorEastAsia" w:hAnsiTheme="majorEastAsia" w:eastAsiaTheme="majorEastAsia"/>
              <w:bCs/>
              <w:sz w:val="28"/>
              <w:szCs w:val="36"/>
              <w:lang w:val="en-US" w:eastAsia="zh-CN"/>
            </w:rPr>
            <w:fldChar w:fldCharType="end"/>
          </w:r>
        </w:p>
        <w:p>
          <w:pPr>
            <w:pStyle w:val="2"/>
            <w:spacing w:line="415" w:lineRule="exact"/>
            <w:ind w:left="115"/>
            <w:outlineLvl w:val="9"/>
            <w:rPr>
              <w:rFonts w:hint="eastAsia" w:asciiTheme="majorEastAsia" w:hAnsiTheme="majorEastAsia" w:eastAsiaTheme="majorEastAsia"/>
              <w:b/>
              <w:bCs/>
              <w:sz w:val="28"/>
              <w:szCs w:val="28"/>
              <w:lang w:val="en-US" w:eastAsia="zh-CN"/>
            </w:rPr>
          </w:pPr>
          <w:r>
            <w:rPr>
              <w:rFonts w:hint="eastAsia" w:asciiTheme="majorEastAsia" w:hAnsiTheme="majorEastAsia" w:eastAsiaTheme="majorEastAsia"/>
              <w:bCs/>
              <w:sz w:val="24"/>
              <w:szCs w:val="36"/>
              <w:lang w:val="en-US" w:eastAsia="zh-CN"/>
            </w:rPr>
            <w:fldChar w:fldCharType="end"/>
          </w:r>
        </w:p>
      </w:sdtContent>
    </w:sdt>
    <w:p>
      <w:pPr>
        <w:pStyle w:val="2"/>
        <w:spacing w:line="415" w:lineRule="exact"/>
        <w:ind w:left="115"/>
        <w:outlineLvl w:val="0"/>
        <w:rPr>
          <w:rFonts w:hint="eastAsia" w:asciiTheme="majorEastAsia" w:hAnsiTheme="majorEastAsia" w:eastAsiaTheme="majorEastAsia"/>
          <w:sz w:val="28"/>
          <w:szCs w:val="28"/>
        </w:rPr>
      </w:pPr>
      <w:bookmarkStart w:id="1" w:name="_Toc24400"/>
      <w:r>
        <w:rPr>
          <w:rFonts w:hint="eastAsia" w:asciiTheme="majorEastAsia" w:hAnsiTheme="majorEastAsia" w:eastAsiaTheme="majorEastAsia"/>
          <w:b/>
          <w:bCs/>
          <w:sz w:val="28"/>
          <w:szCs w:val="28"/>
          <w:lang w:val="en-US" w:eastAsia="zh-CN"/>
        </w:rPr>
        <w:t>一、</w:t>
      </w:r>
      <w:r>
        <w:rPr>
          <w:rFonts w:asciiTheme="majorEastAsia" w:hAnsiTheme="majorEastAsia" w:eastAsiaTheme="majorEastAsia"/>
          <w:b/>
          <w:bCs/>
          <w:sz w:val="28"/>
          <w:szCs w:val="28"/>
        </w:rPr>
        <w:t>提示</w:t>
      </w:r>
      <w:r>
        <w:rPr>
          <w:rFonts w:asciiTheme="majorEastAsia" w:hAnsiTheme="majorEastAsia" w:eastAsiaTheme="majorEastAsia"/>
          <w:sz w:val="28"/>
          <w:szCs w:val="28"/>
        </w:rPr>
        <w:t>：</w:t>
      </w:r>
      <w:bookmarkEnd w:id="1"/>
    </w:p>
    <w:p>
      <w:pPr>
        <w:spacing w:before="3" w:line="361" w:lineRule="exact"/>
        <w:ind w:left="115"/>
        <w:outlineLvl w:val="1"/>
        <w:rPr>
          <w:rFonts w:hint="eastAsia" w:cs="宋体" w:asciiTheme="majorEastAsia" w:hAnsiTheme="majorEastAsia" w:eastAsiaTheme="majorEastAsia"/>
          <w:sz w:val="28"/>
          <w:szCs w:val="28"/>
        </w:rPr>
      </w:pPr>
      <w:bookmarkStart w:id="2" w:name="_Toc21145"/>
      <w:r>
        <w:rPr>
          <w:rFonts w:cs="宋体" w:asciiTheme="majorEastAsia" w:hAnsiTheme="majorEastAsia" w:eastAsiaTheme="majorEastAsia"/>
          <w:sz w:val="28"/>
          <w:szCs w:val="28"/>
        </w:rPr>
        <w:t>1</w:t>
      </w:r>
      <w:r>
        <w:rPr>
          <w:rFonts w:hint="eastAsia" w:cs="宋体" w:asciiTheme="majorEastAsia" w:hAnsiTheme="majorEastAsia" w:eastAsiaTheme="majorEastAsia"/>
          <w:sz w:val="28"/>
          <w:szCs w:val="28"/>
        </w:rPr>
        <w:t>，正确地使用自定义协议与控制器通讯，依赖于使用者对通讯协议的熟练程度；建议使用自定义协议前，</w:t>
      </w:r>
      <w:r>
        <w:rPr>
          <w:rFonts w:cs="宋体" w:asciiTheme="majorEastAsia" w:hAnsiTheme="majorEastAsia" w:eastAsiaTheme="majorEastAsia"/>
          <w:sz w:val="28"/>
          <w:szCs w:val="28"/>
        </w:rPr>
        <w:t xml:space="preserve"> </w:t>
      </w:r>
      <w:r>
        <w:rPr>
          <w:rFonts w:hint="eastAsia" w:cs="宋体" w:asciiTheme="majorEastAsia" w:hAnsiTheme="majorEastAsia" w:eastAsiaTheme="majorEastAsia"/>
          <w:sz w:val="28"/>
          <w:szCs w:val="28"/>
        </w:rPr>
        <w:t>熟读控制器的通讯协议；</w:t>
      </w:r>
      <w:bookmarkEnd w:id="2"/>
    </w:p>
    <w:p>
      <w:pPr>
        <w:spacing w:before="3" w:line="361" w:lineRule="exact"/>
        <w:ind w:left="115"/>
        <w:outlineLvl w:val="1"/>
        <w:rPr>
          <w:rFonts w:hint="eastAsia" w:cs="宋体" w:asciiTheme="majorEastAsia" w:hAnsiTheme="majorEastAsia" w:eastAsiaTheme="majorEastAsia"/>
          <w:sz w:val="28"/>
          <w:szCs w:val="28"/>
        </w:rPr>
      </w:pPr>
      <w:bookmarkStart w:id="3" w:name="_Toc1280"/>
      <w:r>
        <w:rPr>
          <w:rFonts w:hint="eastAsia" w:cs="宋体" w:asciiTheme="majorEastAsia" w:hAnsiTheme="majorEastAsia" w:eastAsiaTheme="maj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3056890</wp:posOffset>
                </wp:positionH>
                <wp:positionV relativeFrom="paragraph">
                  <wp:posOffset>1562100</wp:posOffset>
                </wp:positionV>
                <wp:extent cx="133350" cy="133350"/>
                <wp:effectExtent l="0" t="3175" r="4445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10" w:lineRule="exact"/>
                            </w:pPr>
                            <w:r>
                              <w:t>；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0.7pt;margin-top:123pt;height:10.5pt;width:10.5pt;mso-position-horizontal-relative:page;z-index:-251657216;mso-width-relative:page;mso-height-relative:page;" filled="f" stroked="f" coordsize="21600,21600" o:gfxdata="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Ibr4Q3YAAAACwEAAA8AAAAAAAAAAQAgAAAAIgAAAGRy&#10;cy9kb3ducmV2LnhtbFBLAQIUABQAAAAIAIdO4kCjL2YQBQIAAAQEAAAOAAAAAAAAAAEAIAAAACcB&#10;AABkcnMvZTJvRG9jLnhtbFBLBQYAAAAABgAGAFkBAACe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10" w:lineRule="exact"/>
                      </w:pPr>
                      <w:r>
                        <w:t>；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宋体" w:asciiTheme="majorEastAsia" w:hAnsiTheme="majorEastAsia" w:eastAsiaTheme="majorEastAsia"/>
          <w:sz w:val="28"/>
          <w:szCs w:val="28"/>
        </w:rPr>
        <w:t>2，本文件后续描述的自定义协议设置基于标准 MODBUS RTU 通讯协议。</w:t>
      </w:r>
      <w:bookmarkEnd w:id="3"/>
    </w:p>
    <w:p>
      <w:pPr>
        <w:spacing w:before="3" w:line="361" w:lineRule="exact"/>
        <w:ind w:left="115"/>
        <w:outlineLvl w:val="0"/>
        <w:rPr>
          <w:rFonts w:cs="宋体" w:asciiTheme="majorEastAsia" w:hAnsiTheme="majorEastAsia" w:eastAsiaTheme="majorEastAsia"/>
          <w:sz w:val="28"/>
          <w:szCs w:val="28"/>
        </w:rPr>
      </w:pPr>
      <w:bookmarkStart w:id="4" w:name="_Toc30129"/>
      <w:r>
        <w:rPr>
          <w:rFonts w:hint="eastAsia" w:cs="宋体" w:asciiTheme="majorEastAsia" w:hAnsiTheme="majorEastAsia" w:eastAsiaTheme="majorEastAsia"/>
          <w:b/>
          <w:bCs/>
          <w:sz w:val="28"/>
          <w:szCs w:val="28"/>
          <w:lang w:val="en-US" w:eastAsia="zh-CN"/>
        </w:rPr>
        <w:t>二、</w:t>
      </w:r>
      <w:r>
        <w:rPr>
          <w:rFonts w:cs="宋体" w:asciiTheme="majorEastAsia" w:hAnsiTheme="majorEastAsia" w:eastAsiaTheme="majorEastAsia"/>
          <w:b/>
          <w:bCs/>
          <w:sz w:val="28"/>
          <w:szCs w:val="28"/>
        </w:rPr>
        <w:t>通讯设置</w:t>
      </w:r>
      <w:bookmarkEnd w:id="4"/>
    </w:p>
    <w:p>
      <w:pPr>
        <w:spacing w:before="3" w:line="361" w:lineRule="exact"/>
        <w:ind w:left="115"/>
        <w:outlineLvl w:val="1"/>
        <w:rPr>
          <w:rFonts w:cs="宋体" w:asciiTheme="majorEastAsia" w:hAnsiTheme="majorEastAsia" w:eastAsiaTheme="majorEastAsia"/>
          <w:sz w:val="28"/>
          <w:szCs w:val="28"/>
        </w:rPr>
      </w:pPr>
      <w:bookmarkStart w:id="5" w:name="_Toc17885"/>
      <w:r>
        <w:rPr>
          <w:rFonts w:cs="宋体" w:asciiTheme="majorEastAsia" w:hAnsiTheme="majorEastAsia" w:eastAsiaTheme="majorEastAsia"/>
          <w:sz w:val="28"/>
          <w:szCs w:val="28"/>
        </w:rPr>
        <w:t>1，</w:t>
      </w:r>
      <w:r>
        <w:rPr>
          <w:rFonts w:hint="eastAsia" w:cs="宋体" w:asciiTheme="majorEastAsia" w:hAnsiTheme="majorEastAsia" w:eastAsiaTheme="majorEastAsia"/>
          <w:sz w:val="28"/>
          <w:szCs w:val="28"/>
        </w:rPr>
        <w:t>在协议选择窗口中，选择</w:t>
      </w:r>
      <w:r>
        <w:rPr>
          <w:rFonts w:cs="宋体" w:asciiTheme="majorEastAsia" w:hAnsiTheme="majorEastAsia" w:eastAsiaTheme="majorEastAsia"/>
          <w:sz w:val="28"/>
          <w:szCs w:val="28"/>
        </w:rPr>
        <w:t>“Custom_User”;</w:t>
      </w:r>
      <w:bookmarkEnd w:id="5"/>
    </w:p>
    <w:bookmarkEnd w:id="0"/>
    <w:p>
      <w:pPr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3056255" cy="2354580"/>
            <wp:effectExtent l="0" t="0" r="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62953" cy="2359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outlineLvl w:val="9"/>
        <w:rPr>
          <w:rFonts w:cs="宋体" w:asciiTheme="majorEastAsia" w:hAnsiTheme="majorEastAsia" w:eastAsiaTheme="majorEastAsia"/>
          <w:sz w:val="28"/>
          <w:szCs w:val="28"/>
        </w:rPr>
      </w:pPr>
      <w:r>
        <w:rPr>
          <w:rFonts w:cs="宋体" w:asciiTheme="majorEastAsia" w:hAnsiTheme="majorEastAsia" w:eastAsiaTheme="majorEastAsia"/>
          <w:sz w:val="28"/>
          <w:szCs w:val="28"/>
        </w:rPr>
        <w:t>2，</w:t>
      </w:r>
      <w:bookmarkStart w:id="6" w:name="_Hlk72481058"/>
      <w:r>
        <w:rPr>
          <w:rFonts w:cs="宋体" w:asciiTheme="majorEastAsia" w:hAnsiTheme="majorEastAsia" w:eastAsiaTheme="majorEastAsia"/>
          <w:sz w:val="28"/>
          <w:szCs w:val="28"/>
        </w:rPr>
        <w:t>在协议选择窗口中，选择“自定义协议”按钮，打开协议设置窗口</w:t>
      </w:r>
      <w:bookmarkEnd w:id="6"/>
      <w:r>
        <w:rPr>
          <w:rFonts w:cs="宋体" w:asciiTheme="majorEastAsia" w:hAnsiTheme="majorEastAsia" w:eastAsiaTheme="majorEastAsia"/>
          <w:sz w:val="28"/>
          <w:szCs w:val="28"/>
        </w:rPr>
        <w:br w:type="textWrapping"/>
      </w:r>
      <w:r>
        <w:rPr>
          <w:sz w:val="24"/>
          <w:szCs w:val="24"/>
        </w:rPr>
        <w:drawing>
          <wp:inline distT="0" distB="0" distL="0" distR="0">
            <wp:extent cx="4251960" cy="480504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56600" cy="4810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3" w:line="361" w:lineRule="exact"/>
        <w:ind w:left="115"/>
        <w:outlineLvl w:val="1"/>
        <w:rPr>
          <w:rFonts w:cs="宋体" w:asciiTheme="majorEastAsia" w:hAnsiTheme="majorEastAsia" w:eastAsiaTheme="majorEastAsia"/>
          <w:sz w:val="28"/>
          <w:szCs w:val="28"/>
        </w:rPr>
      </w:pPr>
      <w:bookmarkStart w:id="7" w:name="_Toc206"/>
      <w:r>
        <w:rPr>
          <w:rFonts w:cs="宋体" w:asciiTheme="majorEastAsia" w:hAnsiTheme="majorEastAsia" w:eastAsiaTheme="majorEastAsia"/>
          <w:sz w:val="28"/>
          <w:szCs w:val="28"/>
        </w:rPr>
        <w:t>3，将 Modbus 线圈地址 0x0000 – 0x0007 连续 8 个线圈的状态值读出来，并存放在 HMI 内部 LB[8-</w:t>
      </w:r>
      <w:r>
        <w:rPr>
          <w:rFonts w:cs="宋体" w:asciiTheme="majorEastAsia" w:hAnsiTheme="majorEastAsia" w:eastAsiaTheme="majorEastAsia"/>
          <w:sz w:val="28"/>
          <w:szCs w:val="28"/>
        </w:rPr>
        <w:t>15]位寄存器。操作步骤、设置效果图如下：</w:t>
      </w:r>
      <w:bookmarkEnd w:id="7"/>
    </w:p>
    <w:tbl>
      <w:tblPr>
        <w:tblStyle w:val="14"/>
        <w:tblW w:w="0" w:type="auto"/>
        <w:tblInd w:w="11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38"/>
        <w:gridCol w:w="510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4538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en-US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en-US"/>
              </w:rPr>
              <w:t>步骤</w:t>
            </w:r>
          </w:p>
        </w:tc>
        <w:tc>
          <w:tcPr>
            <w:tcW w:w="5100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en-US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en-US"/>
              </w:rPr>
              <w:t>注释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4538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1，新增线圈读命令：点击“添加”；</w:t>
            </w:r>
          </w:p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</w:p>
          <w:p>
            <w:pPr>
              <w:spacing w:before="3" w:line="361" w:lineRule="exact"/>
              <w:ind w:left="115"/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</w:pPr>
          </w:p>
        </w:tc>
        <w:tc>
          <w:tcPr>
            <w:tcW w:w="5100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4538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en-US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en-US"/>
              </w:rPr>
              <w:t>2，输入读命令：01 01 00 00 00 08</w:t>
            </w:r>
          </w:p>
        </w:tc>
        <w:tc>
          <w:tcPr>
            <w:tcW w:w="5100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01 站号；01 功能码；00 00 起始地址；00 08 数量;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4538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3，校验设置：发送：CRC; 返回与发送相同；</w:t>
            </w:r>
          </w:p>
        </w:tc>
        <w:tc>
          <w:tcPr>
            <w:tcW w:w="5100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参与校验的字段从‘1’开始；长度单位：字节；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4538" w:type="dxa"/>
          </w:tcPr>
          <w:p>
            <w:pPr>
              <w:spacing w:before="3" w:line="361" w:lineRule="exact"/>
              <w:ind w:left="115"/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4，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部件设置：</w:t>
            </w: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类型：位地址；起始地址：LB8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，位数量：8</w:t>
            </w:r>
          </w:p>
        </w:tc>
        <w:tc>
          <w:tcPr>
            <w:tcW w:w="5100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4538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5，数据设置：设置有效数据的位置和长度；</w:t>
            </w:r>
          </w:p>
        </w:tc>
        <w:tc>
          <w:tcPr>
            <w:tcW w:w="5100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读命令：设置返回数据信息；位置从‘1’开始;</w:t>
            </w:r>
          </w:p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写命令：设置发送数据信息；长度单位：字节；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4538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6，指令属性：设置指令长度；</w:t>
            </w:r>
          </w:p>
        </w:tc>
        <w:tc>
          <w:tcPr>
            <w:tcW w:w="5100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en-US"/>
              </w:rPr>
              <w:t>长度单位：字节；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4538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7，保存命令：点击“保存更改”</w:t>
            </w:r>
          </w:p>
        </w:tc>
        <w:tc>
          <w:tcPr>
            <w:tcW w:w="5100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en-US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4538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</w:p>
        </w:tc>
        <w:tc>
          <w:tcPr>
            <w:tcW w:w="5100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</w:p>
        </w:tc>
      </w:tr>
    </w:tbl>
    <w:p>
      <w:pPr>
        <w:spacing w:before="3" w:line="361" w:lineRule="exact"/>
        <w:ind w:left="115"/>
        <w:outlineLvl w:val="2"/>
        <w:rPr>
          <w:rFonts w:cs="宋体" w:asciiTheme="majorEastAsia" w:hAnsiTheme="majorEastAsia" w:eastAsiaTheme="majorEastAsia"/>
          <w:sz w:val="28"/>
          <w:szCs w:val="28"/>
        </w:rPr>
      </w:pPr>
      <w:r>
        <w:rPr>
          <w:rFonts w:hint="eastAsia" w:cs="宋体" w:asciiTheme="majorEastAsia" w:hAnsiTheme="majorEastAsia" w:eastAsiaTheme="majorEastAsia"/>
          <w:sz w:val="28"/>
          <w:szCs w:val="28"/>
        </w:rPr>
        <w:t xml:space="preserve"> </w:t>
      </w:r>
      <w:bookmarkStart w:id="8" w:name="_Toc22289"/>
      <w:r>
        <w:rPr>
          <w:rFonts w:hint="eastAsia" w:cs="宋体" w:asciiTheme="majorEastAsia" w:hAnsiTheme="majorEastAsia" w:eastAsiaTheme="majorEastAsia"/>
          <w:sz w:val="28"/>
          <w:szCs w:val="28"/>
        </w:rPr>
        <w:t>操作效果图</w:t>
      </w:r>
      <w:bookmarkEnd w:id="8"/>
    </w:p>
    <w:p>
      <w:pPr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3531235" cy="1310640"/>
            <wp:effectExtent l="0" t="0" r="0" b="381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39368" cy="131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3503930" cy="1455420"/>
            <wp:effectExtent l="0" t="0" r="127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08616" cy="145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3486785" cy="1249680"/>
            <wp:effectExtent l="0" t="0" r="0" b="762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94924" cy="125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3512820" cy="1218565"/>
            <wp:effectExtent l="0" t="0" r="0" b="63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38113" cy="1227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3480435" cy="1028700"/>
            <wp:effectExtent l="0" t="0" r="571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84129" cy="10296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3469640" cy="967740"/>
            <wp:effectExtent l="0" t="0" r="0" b="381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79609" cy="970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sz w:val="24"/>
          <w:szCs w:val="24"/>
        </w:rPr>
      </w:pPr>
    </w:p>
    <w:p>
      <w:pPr>
        <w:rPr>
          <w:rFonts w:hint="eastAsia" w:eastAsiaTheme="minorEastAsia"/>
          <w:sz w:val="24"/>
          <w:szCs w:val="24"/>
        </w:rPr>
      </w:pPr>
    </w:p>
    <w:p>
      <w:pPr>
        <w:rPr>
          <w:rFonts w:hint="eastAsia" w:eastAsiaTheme="minorEastAsia"/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3438525" cy="1295400"/>
            <wp:effectExtent l="0" t="0" r="952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47640" cy="1298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outlineLvl w:val="1"/>
        <w:rPr>
          <w:rFonts w:cs="宋体" w:asciiTheme="majorEastAsia" w:hAnsiTheme="majorEastAsia" w:eastAsiaTheme="majorEastAsia"/>
          <w:sz w:val="28"/>
          <w:szCs w:val="28"/>
        </w:rPr>
      </w:pPr>
      <w:bookmarkStart w:id="9" w:name="_Toc25271"/>
      <w:r>
        <w:rPr>
          <w:rFonts w:cs="宋体" w:asciiTheme="majorEastAsia" w:hAnsiTheme="majorEastAsia" w:eastAsiaTheme="majorEastAsia"/>
          <w:sz w:val="28"/>
          <w:szCs w:val="28"/>
        </w:rPr>
        <w:t>4，将 LB[0-7] 8 个位寄存器的值分别写入到 Modbus 的线圈地址 0x0000-0x0007；</w:t>
      </w:r>
      <w:bookmarkEnd w:id="9"/>
    </w:p>
    <w:p>
      <w:pPr>
        <w:rPr>
          <w:rFonts w:cs="宋体" w:asciiTheme="majorEastAsia" w:hAnsiTheme="majorEastAsia" w:eastAsiaTheme="majorEastAsia"/>
          <w:sz w:val="28"/>
          <w:szCs w:val="28"/>
        </w:rPr>
      </w:pPr>
      <w:r>
        <w:rPr>
          <w:rFonts w:cs="宋体" w:asciiTheme="majorEastAsia" w:hAnsiTheme="majorEastAsia" w:eastAsiaTheme="majorEastAsia"/>
          <w:sz w:val="28"/>
          <w:szCs w:val="28"/>
        </w:rPr>
        <w:t>注意：HMI 的内部地址与 PLC 控制器的寄存器地址绑定，需要读命令和写命令的同时支持才能实现。操作步骤、设置效果图如下：</w:t>
      </w:r>
    </w:p>
    <w:tbl>
      <w:tblPr>
        <w:tblStyle w:val="14"/>
        <w:tblW w:w="0" w:type="auto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38"/>
        <w:gridCol w:w="510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4538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步骤</w:t>
            </w:r>
          </w:p>
        </w:tc>
        <w:tc>
          <w:tcPr>
            <w:tcW w:w="5100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注释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4538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1，新增线圈写命令：点击“添加”；</w:t>
            </w:r>
          </w:p>
        </w:tc>
        <w:tc>
          <w:tcPr>
            <w:tcW w:w="5100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4538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2，输入写命令：01 05 00 00</w:t>
            </w:r>
          </w:p>
        </w:tc>
        <w:tc>
          <w:tcPr>
            <w:tcW w:w="5100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01 站号；05 功能码；00 00 起始地址；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4538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3，操作类型：写；编码类型：HEX;</w:t>
            </w:r>
          </w:p>
        </w:tc>
        <w:tc>
          <w:tcPr>
            <w:tcW w:w="5100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4538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4，校验设置：发送：CRC; 返回与发送相同；</w:t>
            </w:r>
          </w:p>
        </w:tc>
        <w:tc>
          <w:tcPr>
            <w:tcW w:w="5100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参与校验的字段从‘1’开始；长度单位：字节；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4538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5，器件地址：类型：位地址；起始地址：LB8</w:t>
            </w:r>
          </w:p>
        </w:tc>
        <w:tc>
          <w:tcPr>
            <w:tcW w:w="5100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4538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6，数据设置：设置有效数据的位置和长度；</w:t>
            </w:r>
          </w:p>
        </w:tc>
        <w:tc>
          <w:tcPr>
            <w:tcW w:w="5100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读命令：设置返回数据信息；位置从‘1’开始;</w:t>
            </w:r>
          </w:p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写命令：设置发送数据信息；长度单位：字节；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4538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7，指令属性：设置指令长度；</w:t>
            </w:r>
          </w:p>
        </w:tc>
        <w:tc>
          <w:tcPr>
            <w:tcW w:w="5100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长度单位：字节；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4538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8，保存命令：点击“保存更改”；</w:t>
            </w:r>
          </w:p>
        </w:tc>
        <w:tc>
          <w:tcPr>
            <w:tcW w:w="5100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</w:p>
        </w:tc>
      </w:tr>
    </w:tbl>
    <w:p>
      <w:pPr>
        <w:outlineLvl w:val="2"/>
        <w:rPr>
          <w:rFonts w:hint="eastAsia" w:cs="宋体" w:asciiTheme="majorEastAsia" w:hAnsiTheme="majorEastAsia" w:eastAsiaTheme="majorEastAsia"/>
          <w:sz w:val="28"/>
          <w:szCs w:val="28"/>
        </w:rPr>
      </w:pPr>
      <w:bookmarkStart w:id="10" w:name="_Toc26980"/>
      <w:r>
        <w:rPr>
          <w:rFonts w:cs="宋体" w:asciiTheme="majorEastAsia" w:hAnsiTheme="majorEastAsia" w:eastAsiaTheme="majorEastAsia"/>
          <w:sz w:val="28"/>
          <w:szCs w:val="28"/>
        </w:rPr>
        <w:t>设置效果图</w:t>
      </w:r>
      <w:r>
        <w:rPr>
          <w:rFonts w:hint="eastAsia" w:cs="宋体" w:asciiTheme="majorEastAsia" w:hAnsiTheme="majorEastAsia" w:eastAsiaTheme="majorEastAsia"/>
          <w:sz w:val="28"/>
          <w:szCs w:val="28"/>
        </w:rPr>
        <w:t>：</w:t>
      </w:r>
      <w:bookmarkEnd w:id="10"/>
    </w:p>
    <w:p>
      <w:pPr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4078605" cy="1348740"/>
            <wp:effectExtent l="0" t="0" r="0" b="381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082381" cy="1349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4114800" cy="1687195"/>
            <wp:effectExtent l="0" t="0" r="0" b="825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127850" cy="1692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4084320" cy="145542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92742" cy="1458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4065905" cy="149352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077898" cy="1497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4006215" cy="1211580"/>
            <wp:effectExtent l="0" t="0" r="0" b="762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014002" cy="1213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3956685" cy="883920"/>
            <wp:effectExtent l="0" t="0" r="5715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967645" cy="886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outlineLvl w:val="1"/>
        <w:rPr>
          <w:rFonts w:cs="宋体" w:asciiTheme="majorEastAsia" w:hAnsiTheme="majorEastAsia" w:eastAsiaTheme="majorEastAsia"/>
          <w:sz w:val="28"/>
          <w:szCs w:val="28"/>
        </w:rPr>
      </w:pPr>
      <w:bookmarkStart w:id="11" w:name="_Toc6577"/>
      <w:r>
        <w:rPr>
          <w:rFonts w:cs="宋体" w:asciiTheme="majorEastAsia" w:hAnsiTheme="majorEastAsia" w:eastAsiaTheme="majorEastAsia"/>
          <w:sz w:val="28"/>
          <w:szCs w:val="28"/>
        </w:rPr>
        <w:t>5，HMI的8个位寄存器与PLC的8个线圈绑定</w:t>
      </w:r>
      <w:bookmarkEnd w:id="11"/>
    </w:p>
    <w:p>
      <w:pPr>
        <w:outlineLvl w:val="2"/>
        <w:rPr>
          <w:rFonts w:cs="宋体" w:asciiTheme="majorEastAsia" w:hAnsiTheme="majorEastAsia" w:eastAsiaTheme="majorEastAsia"/>
          <w:sz w:val="28"/>
          <w:szCs w:val="28"/>
        </w:rPr>
      </w:pPr>
      <w:bookmarkStart w:id="12" w:name="_Toc14396"/>
      <w:r>
        <w:rPr>
          <w:rFonts w:cs="宋体" w:asciiTheme="majorEastAsia" w:hAnsiTheme="majorEastAsia" w:eastAsiaTheme="majorEastAsia"/>
          <w:sz w:val="28"/>
          <w:szCs w:val="28"/>
        </w:rPr>
        <w:t>设置如</w:t>
      </w:r>
      <w:r>
        <w:rPr>
          <w:rFonts w:hint="eastAsia" w:cs="宋体" w:asciiTheme="majorEastAsia" w:hAnsiTheme="majorEastAsia" w:eastAsiaTheme="majorEastAsia"/>
          <w:sz w:val="28"/>
          <w:szCs w:val="28"/>
        </w:rPr>
        <w:t>下</w:t>
      </w:r>
      <w:r>
        <w:rPr>
          <w:rFonts w:cs="宋体" w:asciiTheme="majorEastAsia" w:hAnsiTheme="majorEastAsia" w:eastAsiaTheme="majorEastAsia"/>
          <w:sz w:val="28"/>
          <w:szCs w:val="28"/>
        </w:rPr>
        <w:t>图：</w:t>
      </w:r>
      <w:bookmarkEnd w:id="12"/>
    </w:p>
    <w:p>
      <w:pPr>
        <w:rPr>
          <w:rFonts w:cs="宋体" w:asciiTheme="majorEastAsia" w:hAnsiTheme="majorEastAsia" w:eastAsiaTheme="majorEastAsia"/>
          <w:sz w:val="28"/>
          <w:szCs w:val="28"/>
        </w:rPr>
      </w:pPr>
      <w:r>
        <w:rPr>
          <w:sz w:val="24"/>
          <w:szCs w:val="24"/>
        </w:rPr>
        <w:drawing>
          <wp:inline distT="0" distB="0" distL="0" distR="0">
            <wp:extent cx="4558030" cy="5150485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568431" cy="5162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outlineLvl w:val="1"/>
        <w:rPr>
          <w:rFonts w:cs="宋体" w:asciiTheme="majorEastAsia" w:hAnsiTheme="majorEastAsia" w:eastAsiaTheme="majorEastAsia"/>
          <w:sz w:val="28"/>
          <w:szCs w:val="28"/>
        </w:rPr>
      </w:pPr>
      <w:bookmarkStart w:id="13" w:name="_Toc6388"/>
      <w:r>
        <w:rPr>
          <w:rFonts w:cs="宋体" w:asciiTheme="majorEastAsia" w:hAnsiTheme="majorEastAsia" w:eastAsiaTheme="majorEastAsia"/>
          <w:sz w:val="28"/>
          <w:szCs w:val="28"/>
        </w:rPr>
        <w:t>6，HMI字寄存器地址LW[0-7]绑定到PLC地址4x0000-4x0007。</w:t>
      </w:r>
      <w:bookmarkEnd w:id="13"/>
    </w:p>
    <w:p>
      <w:pPr>
        <w:outlineLvl w:val="9"/>
        <w:rPr>
          <w:rFonts w:cs="宋体" w:asciiTheme="majorEastAsia" w:hAnsiTheme="majorEastAsia" w:eastAsiaTheme="majorEastAsia"/>
          <w:sz w:val="28"/>
          <w:szCs w:val="28"/>
        </w:rPr>
      </w:pPr>
      <w:r>
        <w:rPr>
          <w:rFonts w:cs="宋体" w:asciiTheme="majorEastAsia" w:hAnsiTheme="majorEastAsia" w:eastAsiaTheme="majorEastAsia"/>
          <w:sz w:val="28"/>
          <w:szCs w:val="28"/>
        </w:rPr>
        <w:t>首先设置读命令、再设置写命令，详细操作请参考以下说明。</w:t>
      </w:r>
    </w:p>
    <w:p>
      <w:pPr>
        <w:outlineLvl w:val="2"/>
        <w:rPr>
          <w:rFonts w:hint="eastAsia" w:cs="宋体" w:asciiTheme="majorEastAsia" w:hAnsiTheme="majorEastAsia" w:eastAsiaTheme="majorEastAsia"/>
          <w:sz w:val="28"/>
          <w:szCs w:val="28"/>
        </w:rPr>
      </w:pPr>
      <w:bookmarkStart w:id="14" w:name="_Toc8630"/>
      <w:r>
        <w:rPr>
          <w:rFonts w:hint="eastAsia" w:cs="宋体" w:asciiTheme="majorEastAsia" w:hAnsiTheme="majorEastAsia" w:eastAsiaTheme="majorEastAsia"/>
          <w:sz w:val="28"/>
          <w:szCs w:val="28"/>
        </w:rPr>
        <w:t>操作步骤【读命令】</w:t>
      </w:r>
      <w:bookmarkEnd w:id="14"/>
    </w:p>
    <w:tbl>
      <w:tblPr>
        <w:tblStyle w:val="14"/>
        <w:tblW w:w="0" w:type="auto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38"/>
        <w:gridCol w:w="510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4538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步骤</w:t>
            </w:r>
          </w:p>
        </w:tc>
        <w:tc>
          <w:tcPr>
            <w:tcW w:w="5100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注释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4538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1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，新增寄存器读命令：点击</w:t>
            </w: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“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添加</w:t>
            </w: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”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；</w:t>
            </w:r>
          </w:p>
        </w:tc>
        <w:tc>
          <w:tcPr>
            <w:tcW w:w="5100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4538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2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，输入读命令：</w:t>
            </w: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01 03 00 00 00 08</w:t>
            </w:r>
          </w:p>
        </w:tc>
        <w:tc>
          <w:tcPr>
            <w:tcW w:w="5100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 xml:space="preserve">01 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站号；</w:t>
            </w: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 xml:space="preserve">03 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功能码；</w:t>
            </w: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 xml:space="preserve">00 00 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起始地址；</w:t>
            </w: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 xml:space="preserve">00 08 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数量；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4538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3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，操作类型：读；编码类型：</w:t>
            </w: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HEX;</w:t>
            </w:r>
          </w:p>
        </w:tc>
        <w:tc>
          <w:tcPr>
            <w:tcW w:w="5100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4538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4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，校验设置：发送：</w:t>
            </w: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 xml:space="preserve">CRC; 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返回与发送相同；</w:t>
            </w:r>
          </w:p>
        </w:tc>
        <w:tc>
          <w:tcPr>
            <w:tcW w:w="5100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参与校验的字段从</w:t>
            </w: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‘1’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开始；长度单位：字节；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4538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5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，器件地址：类型：字地址；起始地址：</w:t>
            </w: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LW0</w:t>
            </w:r>
          </w:p>
        </w:tc>
        <w:tc>
          <w:tcPr>
            <w:tcW w:w="5100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4538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6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，数据设置：设置有效数据的位置和长度；</w:t>
            </w:r>
          </w:p>
        </w:tc>
        <w:tc>
          <w:tcPr>
            <w:tcW w:w="5100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读命令：设置返回数据信息；位置从</w:t>
            </w: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‘1’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开始</w:t>
            </w: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;</w:t>
            </w:r>
          </w:p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写命令：设置发送数据信息；长度单位：字节；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4538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7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，指令属性：设置指令长度；</w:t>
            </w:r>
          </w:p>
        </w:tc>
        <w:tc>
          <w:tcPr>
            <w:tcW w:w="5100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长度单位：字节；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4538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8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，保存命令：点击</w:t>
            </w: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“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保存更改</w:t>
            </w: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”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；</w:t>
            </w:r>
          </w:p>
        </w:tc>
        <w:tc>
          <w:tcPr>
            <w:tcW w:w="5100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</w:p>
        </w:tc>
      </w:tr>
    </w:tbl>
    <w:p>
      <w:pPr>
        <w:outlineLvl w:val="2"/>
        <w:rPr>
          <w:rFonts w:cs="宋体" w:asciiTheme="majorEastAsia" w:hAnsiTheme="majorEastAsia" w:eastAsiaTheme="majorEastAsia"/>
          <w:sz w:val="28"/>
          <w:szCs w:val="28"/>
        </w:rPr>
      </w:pPr>
      <w:bookmarkStart w:id="15" w:name="_Toc9954"/>
      <w:r>
        <w:rPr>
          <w:rFonts w:cs="宋体" w:asciiTheme="majorEastAsia" w:hAnsiTheme="majorEastAsia" w:eastAsiaTheme="majorEastAsia"/>
          <w:sz w:val="28"/>
          <w:szCs w:val="28"/>
        </w:rPr>
        <w:t>设置效果图【读命令】：</w:t>
      </w:r>
      <w:bookmarkEnd w:id="15"/>
    </w:p>
    <w:p>
      <w:pPr>
        <w:rPr>
          <w:rFonts w:cs="宋体" w:asciiTheme="majorEastAsia" w:hAnsiTheme="majorEastAsia" w:eastAsiaTheme="majorEastAsia"/>
          <w:sz w:val="28"/>
          <w:szCs w:val="28"/>
        </w:rPr>
      </w:pPr>
      <w:r>
        <w:rPr>
          <w:sz w:val="24"/>
          <w:szCs w:val="24"/>
        </w:rPr>
        <w:drawing>
          <wp:inline distT="0" distB="0" distL="0" distR="0">
            <wp:extent cx="3531235" cy="1310640"/>
            <wp:effectExtent l="0" t="0" r="0" b="381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39368" cy="131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cs="宋体" w:asciiTheme="majorEastAsia" w:hAnsiTheme="majorEastAsia" w:eastAsiaTheme="majorEastAsia"/>
          <w:sz w:val="28"/>
          <w:szCs w:val="28"/>
        </w:rPr>
      </w:pPr>
      <w:r>
        <w:rPr>
          <w:sz w:val="24"/>
          <w:szCs w:val="24"/>
        </w:rPr>
        <w:drawing>
          <wp:inline distT="0" distB="0" distL="0" distR="0">
            <wp:extent cx="3522980" cy="1417320"/>
            <wp:effectExtent l="0" t="0" r="127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537038" cy="1422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cs="宋体" w:asciiTheme="majorEastAsia" w:hAnsiTheme="majorEastAsia" w:eastAsiaTheme="majorEastAsia"/>
          <w:sz w:val="28"/>
          <w:szCs w:val="28"/>
        </w:rPr>
      </w:pPr>
      <w:r>
        <w:rPr>
          <w:sz w:val="24"/>
          <w:szCs w:val="24"/>
        </w:rPr>
        <w:drawing>
          <wp:inline distT="0" distB="0" distL="0" distR="0">
            <wp:extent cx="3509010" cy="124206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516748" cy="124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cs="宋体" w:asciiTheme="majorEastAsia" w:hAnsiTheme="majorEastAsia" w:eastAsiaTheme="majorEastAsia"/>
          <w:sz w:val="28"/>
          <w:szCs w:val="28"/>
        </w:rPr>
      </w:pPr>
      <w:r>
        <w:rPr>
          <w:sz w:val="24"/>
          <w:szCs w:val="24"/>
        </w:rPr>
        <w:drawing>
          <wp:inline distT="0" distB="0" distL="0" distR="0">
            <wp:extent cx="3533775" cy="1249680"/>
            <wp:effectExtent l="0" t="0" r="9525" b="762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539765" cy="1251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cs="宋体" w:asciiTheme="majorEastAsia" w:hAnsiTheme="majorEastAsia" w:eastAsiaTheme="majorEastAsia"/>
          <w:sz w:val="28"/>
          <w:szCs w:val="28"/>
        </w:rPr>
      </w:pPr>
      <w:r>
        <w:rPr>
          <w:sz w:val="24"/>
          <w:szCs w:val="24"/>
        </w:rPr>
        <w:drawing>
          <wp:inline distT="0" distB="0" distL="0" distR="0">
            <wp:extent cx="3535680" cy="991870"/>
            <wp:effectExtent l="0" t="0" r="762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559488" cy="998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cs="宋体" w:asciiTheme="majorEastAsia" w:hAnsiTheme="majorEastAsia" w:eastAsiaTheme="majorEastAsia"/>
          <w:sz w:val="28"/>
          <w:szCs w:val="28"/>
        </w:rPr>
      </w:pPr>
      <w:r>
        <w:rPr>
          <w:sz w:val="24"/>
          <w:szCs w:val="24"/>
        </w:rPr>
        <w:drawing>
          <wp:inline distT="0" distB="0" distL="0" distR="0">
            <wp:extent cx="3497580" cy="807085"/>
            <wp:effectExtent l="0" t="0" r="762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514802" cy="811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cs="宋体" w:asciiTheme="majorEastAsia" w:hAnsiTheme="majorEastAsia" w:eastAsiaTheme="majorEastAsia"/>
          <w:sz w:val="28"/>
          <w:szCs w:val="28"/>
        </w:rPr>
      </w:pPr>
      <w:r>
        <w:rPr>
          <w:sz w:val="24"/>
          <w:szCs w:val="24"/>
        </w:rPr>
        <w:drawing>
          <wp:inline distT="0" distB="0" distL="0" distR="0">
            <wp:extent cx="3475990" cy="134112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484136" cy="1344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outlineLvl w:val="2"/>
        <w:rPr>
          <w:rFonts w:hint="eastAsia" w:cs="宋体" w:asciiTheme="majorEastAsia" w:hAnsiTheme="majorEastAsia" w:eastAsiaTheme="majorEastAsia"/>
          <w:sz w:val="28"/>
          <w:szCs w:val="28"/>
        </w:rPr>
      </w:pPr>
      <w:bookmarkStart w:id="16" w:name="_Toc6265"/>
      <w:r>
        <w:rPr>
          <w:rFonts w:hint="eastAsia" w:cs="宋体" w:asciiTheme="majorEastAsia" w:hAnsiTheme="majorEastAsia" w:eastAsiaTheme="majorEastAsia"/>
          <w:sz w:val="28"/>
          <w:szCs w:val="28"/>
        </w:rPr>
        <w:t>操作步骤【写命令】</w:t>
      </w:r>
      <w:bookmarkEnd w:id="16"/>
    </w:p>
    <w:tbl>
      <w:tblPr>
        <w:tblStyle w:val="14"/>
        <w:tblW w:w="0" w:type="auto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38"/>
        <w:gridCol w:w="510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4538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步骤</w:t>
            </w:r>
          </w:p>
        </w:tc>
        <w:tc>
          <w:tcPr>
            <w:tcW w:w="5100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注释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4538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1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，新增寄存器读命令：点击</w:t>
            </w: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“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添加</w:t>
            </w: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”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；</w:t>
            </w:r>
          </w:p>
        </w:tc>
        <w:tc>
          <w:tcPr>
            <w:tcW w:w="5100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4538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，输入写命令：</w:t>
            </w:r>
            <w:r>
              <w:rPr>
                <w:sz w:val="24"/>
                <w:szCs w:val="24"/>
                <w:lang w:eastAsia="zh-CN"/>
              </w:rPr>
              <w:t xml:space="preserve">01 06 00 00 </w:t>
            </w:r>
          </w:p>
        </w:tc>
        <w:tc>
          <w:tcPr>
            <w:tcW w:w="5100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01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站号；</w:t>
            </w:r>
            <w:r>
              <w:rPr>
                <w:sz w:val="24"/>
                <w:szCs w:val="24"/>
                <w:lang w:eastAsia="zh-CN"/>
              </w:rPr>
              <w:t xml:space="preserve">06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功能码；</w:t>
            </w:r>
            <w:r>
              <w:rPr>
                <w:sz w:val="24"/>
                <w:szCs w:val="24"/>
                <w:lang w:eastAsia="zh-CN"/>
              </w:rPr>
              <w:t xml:space="preserve">00 00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起始地址；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4538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3，操作类型：写；编码类型：HEX;</w:t>
            </w:r>
          </w:p>
        </w:tc>
        <w:tc>
          <w:tcPr>
            <w:tcW w:w="5100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4538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4，校验设置：发送：CRC; 返回与发送相同；</w:t>
            </w:r>
          </w:p>
        </w:tc>
        <w:tc>
          <w:tcPr>
            <w:tcW w:w="5100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参与校验的字段从‘1’开始；长度单位：字节；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4538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5，器件地址：类型：字地址；起始地址：LW0</w:t>
            </w:r>
          </w:p>
        </w:tc>
        <w:tc>
          <w:tcPr>
            <w:tcW w:w="5100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4538" w:type="dxa"/>
          </w:tcPr>
          <w:p>
            <w:pPr>
              <w:spacing w:before="3" w:line="361" w:lineRule="exact"/>
              <w:ind w:left="115"/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6，数据设置：设置有效数据的位置和长度；</w:t>
            </w:r>
          </w:p>
        </w:tc>
        <w:tc>
          <w:tcPr>
            <w:tcW w:w="5100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读命令：设置返回数据信息；位置从‘1’开始;</w:t>
            </w:r>
          </w:p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写命令：设置发送数据信息；长度单位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 xml:space="preserve"> </w:t>
            </w: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字节；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4538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7，指令属性：设置指令长度；</w:t>
            </w:r>
          </w:p>
        </w:tc>
        <w:tc>
          <w:tcPr>
            <w:tcW w:w="5100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长度单位：字节；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4538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8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，保存命令：点击</w:t>
            </w: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“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保存更改</w:t>
            </w: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”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；</w:t>
            </w:r>
          </w:p>
        </w:tc>
        <w:tc>
          <w:tcPr>
            <w:tcW w:w="5100" w:type="dxa"/>
          </w:tcPr>
          <w:p>
            <w:pPr>
              <w:spacing w:before="3" w:line="361" w:lineRule="exact"/>
              <w:ind w:left="115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</w:p>
        </w:tc>
      </w:tr>
    </w:tbl>
    <w:p>
      <w:pPr>
        <w:rPr>
          <w:rFonts w:hint="eastAsia" w:eastAsia="宋体"/>
          <w:sz w:val="24"/>
          <w:szCs w:val="24"/>
          <w:lang w:val="en-US" w:eastAsia="zh-CN"/>
        </w:rPr>
      </w:pPr>
    </w:p>
    <w:p>
      <w:pPr>
        <w:outlineLvl w:val="2"/>
        <w:rPr>
          <w:rFonts w:hint="default" w:cs="宋体" w:asciiTheme="majorEastAsia" w:hAnsiTheme="majorEastAsia" w:eastAsiaTheme="majorEastAsia"/>
          <w:sz w:val="28"/>
          <w:szCs w:val="28"/>
          <w:lang w:val="en-US" w:eastAsia="zh-CN"/>
        </w:rPr>
      </w:pPr>
      <w:bookmarkStart w:id="17" w:name="_Toc25101"/>
      <w:r>
        <w:rPr>
          <w:rFonts w:hint="eastAsia" w:cs="宋体" w:asciiTheme="majorEastAsia" w:hAnsiTheme="majorEastAsia" w:eastAsiaTheme="majorEastAsia"/>
          <w:sz w:val="28"/>
          <w:szCs w:val="28"/>
          <w:lang w:val="en-US" w:eastAsia="zh-CN"/>
        </w:rPr>
        <w:t>操作效果图【写命令】</w:t>
      </w:r>
      <w:bookmarkEnd w:id="17"/>
    </w:p>
    <w:p>
      <w:pPr>
        <w:rPr>
          <w:rFonts w:cs="宋体" w:asciiTheme="majorEastAsia" w:hAnsiTheme="majorEastAsia" w:eastAsiaTheme="majorEastAsia"/>
          <w:sz w:val="28"/>
          <w:szCs w:val="28"/>
        </w:rPr>
      </w:pPr>
      <w:r>
        <w:rPr>
          <w:sz w:val="24"/>
          <w:szCs w:val="24"/>
        </w:rPr>
        <w:drawing>
          <wp:inline distT="0" distB="0" distL="0" distR="0">
            <wp:extent cx="3531235" cy="1310640"/>
            <wp:effectExtent l="0" t="0" r="0" b="381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39368" cy="131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cs="宋体" w:asciiTheme="majorEastAsia" w:hAnsiTheme="majorEastAsia" w:eastAsiaTheme="majorEastAsia"/>
          <w:sz w:val="28"/>
          <w:szCs w:val="28"/>
        </w:rPr>
      </w:pPr>
      <w:r>
        <w:rPr>
          <w:sz w:val="24"/>
          <w:szCs w:val="24"/>
        </w:rPr>
        <w:drawing>
          <wp:inline distT="0" distB="0" distL="0" distR="0">
            <wp:extent cx="3507105" cy="141732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519130" cy="1422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cs="宋体" w:asciiTheme="majorEastAsia" w:hAnsiTheme="majorEastAsia" w:eastAsiaTheme="majorEastAsia"/>
          <w:sz w:val="28"/>
          <w:szCs w:val="28"/>
        </w:rPr>
      </w:pPr>
      <w:r>
        <w:rPr>
          <w:sz w:val="24"/>
          <w:szCs w:val="24"/>
        </w:rPr>
        <w:drawing>
          <wp:inline distT="0" distB="0" distL="0" distR="0">
            <wp:extent cx="3519805" cy="1242060"/>
            <wp:effectExtent l="0" t="0" r="4445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524583" cy="1243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cs="宋体" w:asciiTheme="majorEastAsia" w:hAnsiTheme="majorEastAsia" w:eastAsiaTheme="majorEastAsia"/>
          <w:sz w:val="28"/>
          <w:szCs w:val="28"/>
        </w:rPr>
      </w:pPr>
      <w:r>
        <w:rPr>
          <w:sz w:val="24"/>
          <w:szCs w:val="24"/>
        </w:rPr>
        <w:drawing>
          <wp:inline distT="0" distB="0" distL="0" distR="0">
            <wp:extent cx="3528060" cy="1305560"/>
            <wp:effectExtent l="0" t="0" r="0" b="889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546571" cy="1312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cs="宋体" w:asciiTheme="majorEastAsia" w:hAnsiTheme="majorEastAsia" w:eastAsiaTheme="majorEastAsia"/>
          <w:sz w:val="28"/>
          <w:szCs w:val="28"/>
        </w:rPr>
      </w:pPr>
      <w:r>
        <w:rPr>
          <w:sz w:val="24"/>
          <w:szCs w:val="24"/>
        </w:rPr>
        <w:drawing>
          <wp:inline distT="0" distB="0" distL="0" distR="0">
            <wp:extent cx="3532505" cy="115062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537419" cy="1152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cs="宋体" w:asciiTheme="majorEastAsia" w:hAnsiTheme="majorEastAsia" w:eastAsiaTheme="majorEastAsia"/>
          <w:sz w:val="28"/>
          <w:szCs w:val="28"/>
        </w:rPr>
      </w:pPr>
      <w:r>
        <w:rPr>
          <w:sz w:val="24"/>
          <w:szCs w:val="24"/>
        </w:rPr>
        <w:drawing>
          <wp:inline distT="0" distB="0" distL="0" distR="0">
            <wp:extent cx="3512820" cy="73215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529426" cy="73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cs="宋体" w:asciiTheme="majorEastAsia" w:hAnsiTheme="majorEastAsia" w:eastAsiaTheme="majorEastAsia"/>
          <w:sz w:val="28"/>
          <w:szCs w:val="28"/>
        </w:rPr>
      </w:pPr>
      <w:r>
        <w:rPr>
          <w:sz w:val="24"/>
          <w:szCs w:val="24"/>
        </w:rPr>
        <w:drawing>
          <wp:inline distT="0" distB="0" distL="0" distR="0">
            <wp:extent cx="3464560" cy="1295400"/>
            <wp:effectExtent l="0" t="0" r="254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472157" cy="1298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cs="宋体" w:asciiTheme="majorEastAsia" w:hAnsiTheme="majorEastAsia" w:eastAsiaTheme="majorEastAsia"/>
          <w:sz w:val="28"/>
          <w:szCs w:val="28"/>
        </w:rPr>
      </w:pPr>
      <w:r>
        <w:rPr>
          <w:rFonts w:hint="eastAsia" w:cs="宋体" w:asciiTheme="majorEastAsia" w:hAnsiTheme="majorEastAsia" w:eastAsiaTheme="majorEastAsia"/>
          <w:sz w:val="28"/>
          <w:szCs w:val="28"/>
        </w:rPr>
        <w:t>下</w:t>
      </w:r>
      <w:r>
        <w:rPr>
          <w:rFonts w:cs="宋体" w:asciiTheme="majorEastAsia" w:hAnsiTheme="majorEastAsia" w:eastAsiaTheme="majorEastAsia"/>
          <w:sz w:val="28"/>
          <w:szCs w:val="28"/>
        </w:rPr>
        <w:t>图指令列表中最后8条写指令，分别将LW0-LW7的值写入到PLC控制器中的4x0000-4x0007。</w:t>
      </w:r>
    </w:p>
    <w:p>
      <w:pPr>
        <w:rPr>
          <w:rFonts w:cs="宋体" w:asciiTheme="majorEastAsia" w:hAnsiTheme="majorEastAsia" w:eastAsiaTheme="majorEastAsia"/>
          <w:sz w:val="28"/>
          <w:szCs w:val="28"/>
        </w:rPr>
      </w:pPr>
      <w:r>
        <w:rPr>
          <w:sz w:val="24"/>
          <w:szCs w:val="24"/>
        </w:rPr>
        <w:drawing>
          <wp:inline distT="0" distB="0" distL="0" distR="0">
            <wp:extent cx="4759960" cy="5379720"/>
            <wp:effectExtent l="0" t="0" r="254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768964" cy="5389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outlineLvl w:val="1"/>
        <w:rPr>
          <w:rFonts w:cs="宋体" w:asciiTheme="majorEastAsia" w:hAnsiTheme="majorEastAsia" w:eastAsiaTheme="majorEastAsia"/>
          <w:sz w:val="28"/>
          <w:szCs w:val="28"/>
        </w:rPr>
      </w:pPr>
      <w:bookmarkStart w:id="18" w:name="_Toc1332"/>
      <w:r>
        <w:rPr>
          <w:rFonts w:cs="宋体" w:asciiTheme="majorEastAsia" w:hAnsiTheme="majorEastAsia" w:eastAsiaTheme="majorEastAsia"/>
          <w:sz w:val="28"/>
          <w:szCs w:val="28"/>
        </w:rPr>
        <w:t>7，将LW8-LW15字寄存器的值一次全部写入到PLC控制器的4x0008-4x000F地址--批量数据写操作。</w:t>
      </w:r>
      <w:bookmarkEnd w:id="18"/>
    </w:p>
    <w:p>
      <w:pPr>
        <w:outlineLvl w:val="2"/>
        <w:rPr>
          <w:rFonts w:cs="宋体" w:asciiTheme="majorEastAsia" w:hAnsiTheme="majorEastAsia" w:eastAsiaTheme="majorEastAsia"/>
          <w:sz w:val="28"/>
          <w:szCs w:val="28"/>
        </w:rPr>
      </w:pPr>
      <w:bookmarkStart w:id="19" w:name="_Toc19272"/>
      <w:r>
        <w:rPr>
          <w:rFonts w:cs="宋体" w:asciiTheme="majorEastAsia" w:hAnsiTheme="majorEastAsia" w:eastAsiaTheme="majorEastAsia"/>
          <w:sz w:val="28"/>
          <w:szCs w:val="28"/>
        </w:rPr>
        <w:t>操作步骤【写命令】：</w:t>
      </w:r>
      <w:bookmarkEnd w:id="19"/>
    </w:p>
    <w:tbl>
      <w:tblPr>
        <w:tblStyle w:val="14"/>
        <w:tblW w:w="0" w:type="auto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38"/>
        <w:gridCol w:w="510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4538" w:type="dxa"/>
          </w:tcPr>
          <w:p>
            <w:pPr>
              <w:spacing w:before="3" w:line="361" w:lineRule="exact"/>
              <w:ind w:left="115"/>
              <w:outlineLvl w:val="9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步骤</w:t>
            </w:r>
          </w:p>
        </w:tc>
        <w:tc>
          <w:tcPr>
            <w:tcW w:w="5100" w:type="dxa"/>
          </w:tcPr>
          <w:p>
            <w:pPr>
              <w:spacing w:before="3" w:line="361" w:lineRule="exact"/>
              <w:ind w:left="115"/>
              <w:outlineLvl w:val="9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注释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4538" w:type="dxa"/>
          </w:tcPr>
          <w:p>
            <w:pPr>
              <w:spacing w:before="3" w:line="361" w:lineRule="exact"/>
              <w:ind w:left="115"/>
              <w:outlineLvl w:val="9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1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，新增寄存器写命令：点击</w:t>
            </w: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“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添加</w:t>
            </w: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”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；</w:t>
            </w:r>
          </w:p>
        </w:tc>
        <w:tc>
          <w:tcPr>
            <w:tcW w:w="5100" w:type="dxa"/>
          </w:tcPr>
          <w:p>
            <w:pPr>
              <w:spacing w:before="3" w:line="361" w:lineRule="exact"/>
              <w:ind w:left="115"/>
              <w:outlineLvl w:val="9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4538" w:type="dxa"/>
          </w:tcPr>
          <w:p>
            <w:pPr>
              <w:spacing w:before="3" w:line="361" w:lineRule="exact"/>
              <w:ind w:left="115"/>
              <w:outlineLvl w:val="9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2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，输入写命令：</w:t>
            </w: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01 10 00 00 00 08 10</w:t>
            </w:r>
          </w:p>
        </w:tc>
        <w:tc>
          <w:tcPr>
            <w:tcW w:w="5100" w:type="dxa"/>
          </w:tcPr>
          <w:p>
            <w:pPr>
              <w:spacing w:before="3" w:line="361" w:lineRule="exact"/>
              <w:ind w:left="115"/>
              <w:outlineLvl w:val="9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 xml:space="preserve">01 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站号；</w:t>
            </w: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 xml:space="preserve">10 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功能码；</w:t>
            </w: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 xml:space="preserve">00 00 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起始地址；</w:t>
            </w: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 xml:space="preserve"> </w:t>
            </w:r>
          </w:p>
          <w:p>
            <w:pPr>
              <w:spacing w:before="3" w:line="361" w:lineRule="exact"/>
              <w:ind w:left="115"/>
              <w:outlineLvl w:val="9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 xml:space="preserve">00 08 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字数量；</w:t>
            </w: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 xml:space="preserve">10 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字节数量；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4538" w:type="dxa"/>
          </w:tcPr>
          <w:p>
            <w:pPr>
              <w:spacing w:before="3" w:line="361" w:lineRule="exact"/>
              <w:ind w:left="115"/>
              <w:outlineLvl w:val="9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3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，操作类型：写；编码类型：</w:t>
            </w: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HEX;</w:t>
            </w:r>
          </w:p>
        </w:tc>
        <w:tc>
          <w:tcPr>
            <w:tcW w:w="5100" w:type="dxa"/>
          </w:tcPr>
          <w:p>
            <w:pPr>
              <w:spacing w:before="3" w:line="361" w:lineRule="exact"/>
              <w:ind w:left="115"/>
              <w:outlineLvl w:val="9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4538" w:type="dxa"/>
          </w:tcPr>
          <w:p>
            <w:pPr>
              <w:spacing w:before="3" w:line="361" w:lineRule="exact"/>
              <w:ind w:left="115"/>
              <w:outlineLvl w:val="9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4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，单次触发：使能；触发位</w:t>
            </w: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 xml:space="preserve"> LB16</w:t>
            </w:r>
          </w:p>
        </w:tc>
        <w:tc>
          <w:tcPr>
            <w:tcW w:w="5100" w:type="dxa"/>
          </w:tcPr>
          <w:p>
            <w:pPr>
              <w:spacing w:before="3" w:line="361" w:lineRule="exact"/>
              <w:ind w:left="115"/>
              <w:outlineLvl w:val="9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触发位对应的控制设置成</w:t>
            </w: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“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置位</w:t>
            </w: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”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模式；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4538" w:type="dxa"/>
          </w:tcPr>
          <w:p>
            <w:pPr>
              <w:spacing w:before="3" w:line="361" w:lineRule="exact"/>
              <w:ind w:left="115"/>
              <w:outlineLvl w:val="9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5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，校验设置：发送：</w:t>
            </w: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 xml:space="preserve">CRC; 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返回与发送相同；</w:t>
            </w:r>
          </w:p>
        </w:tc>
        <w:tc>
          <w:tcPr>
            <w:tcW w:w="5100" w:type="dxa"/>
          </w:tcPr>
          <w:p>
            <w:pPr>
              <w:spacing w:before="3" w:line="361" w:lineRule="exact"/>
              <w:ind w:left="115"/>
              <w:outlineLvl w:val="9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参与校验的字段从</w:t>
            </w: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‘1’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开始；长度单位：字节；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4538" w:type="dxa"/>
          </w:tcPr>
          <w:p>
            <w:pPr>
              <w:spacing w:before="3" w:line="361" w:lineRule="exact"/>
              <w:ind w:left="115"/>
              <w:outlineLvl w:val="9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6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，器件地址：类型：字地址；起始地址：</w:t>
            </w: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LW0</w:t>
            </w:r>
          </w:p>
        </w:tc>
        <w:tc>
          <w:tcPr>
            <w:tcW w:w="5100" w:type="dxa"/>
          </w:tcPr>
          <w:p>
            <w:pPr>
              <w:spacing w:before="3" w:line="361" w:lineRule="exact"/>
              <w:ind w:left="115"/>
              <w:outlineLvl w:val="9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4538" w:type="dxa"/>
          </w:tcPr>
          <w:p>
            <w:pPr>
              <w:spacing w:before="3" w:line="361" w:lineRule="exact"/>
              <w:ind w:left="115"/>
              <w:outlineLvl w:val="9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7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，数据设置：设置有效数据的位置和长度；</w:t>
            </w:r>
          </w:p>
        </w:tc>
        <w:tc>
          <w:tcPr>
            <w:tcW w:w="5100" w:type="dxa"/>
          </w:tcPr>
          <w:p>
            <w:pPr>
              <w:spacing w:before="3" w:line="361" w:lineRule="exact"/>
              <w:ind w:left="115"/>
              <w:outlineLvl w:val="9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读命令：设置返回数据信息；位置从</w:t>
            </w: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‘1’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开始</w:t>
            </w: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;</w:t>
            </w:r>
          </w:p>
          <w:p>
            <w:pPr>
              <w:spacing w:before="3" w:line="361" w:lineRule="exact"/>
              <w:ind w:left="115"/>
              <w:outlineLvl w:val="9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写命令：设置发送数据信息；长度单位：字节；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4538" w:type="dxa"/>
          </w:tcPr>
          <w:p>
            <w:pPr>
              <w:spacing w:before="3" w:line="361" w:lineRule="exact"/>
              <w:ind w:left="115"/>
              <w:outlineLvl w:val="9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8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，指令属性：设置指令长度；</w:t>
            </w:r>
          </w:p>
        </w:tc>
        <w:tc>
          <w:tcPr>
            <w:tcW w:w="5100" w:type="dxa"/>
          </w:tcPr>
          <w:p>
            <w:pPr>
              <w:spacing w:before="3" w:line="361" w:lineRule="exact"/>
              <w:ind w:left="115"/>
              <w:outlineLvl w:val="9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长度单位：字节；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4538" w:type="dxa"/>
          </w:tcPr>
          <w:p>
            <w:pPr>
              <w:spacing w:before="3" w:line="361" w:lineRule="exact"/>
              <w:ind w:left="115"/>
              <w:outlineLvl w:val="9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9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，保存命令：点击</w:t>
            </w: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“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保存更改</w:t>
            </w:r>
            <w:r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  <w:t>”</w:t>
            </w:r>
            <w:r>
              <w:rPr>
                <w:rFonts w:hint="eastAsia" w:cs="宋体" w:asciiTheme="majorEastAsia" w:hAnsiTheme="majorEastAsia" w:eastAsiaTheme="majorEastAsia"/>
                <w:sz w:val="28"/>
                <w:szCs w:val="28"/>
                <w:lang w:eastAsia="zh-CN"/>
              </w:rPr>
              <w:t>；</w:t>
            </w:r>
          </w:p>
        </w:tc>
        <w:tc>
          <w:tcPr>
            <w:tcW w:w="5100" w:type="dxa"/>
          </w:tcPr>
          <w:p>
            <w:pPr>
              <w:spacing w:before="3" w:line="361" w:lineRule="exact"/>
              <w:ind w:left="115"/>
              <w:outlineLvl w:val="9"/>
              <w:rPr>
                <w:rFonts w:cs="宋体" w:asciiTheme="majorEastAsia" w:hAnsiTheme="majorEastAsia" w:eastAsiaTheme="majorEastAsia"/>
                <w:sz w:val="28"/>
                <w:szCs w:val="28"/>
                <w:lang w:eastAsia="zh-CN"/>
              </w:rPr>
            </w:pPr>
          </w:p>
        </w:tc>
      </w:tr>
    </w:tbl>
    <w:p>
      <w:pPr>
        <w:outlineLvl w:val="9"/>
        <w:rPr>
          <w:rFonts w:cs="宋体" w:asciiTheme="majorEastAsia" w:hAnsiTheme="majorEastAsia" w:eastAsiaTheme="majorEastAsia"/>
          <w:sz w:val="28"/>
          <w:szCs w:val="28"/>
        </w:rPr>
      </w:pPr>
      <w:r>
        <w:rPr>
          <w:rFonts w:hint="eastAsia" w:cs="宋体" w:asciiTheme="majorEastAsia" w:hAnsiTheme="majorEastAsia" w:eastAsiaTheme="majorEastAsia"/>
          <w:sz w:val="28"/>
          <w:szCs w:val="28"/>
        </w:rPr>
        <w:t>操作效果图</w:t>
      </w:r>
      <w:r>
        <w:rPr>
          <w:rFonts w:cs="宋体" w:asciiTheme="majorEastAsia" w:hAnsiTheme="majorEastAsia" w:eastAsiaTheme="majorEastAsia"/>
          <w:sz w:val="28"/>
          <w:szCs w:val="28"/>
        </w:rPr>
        <w:br w:type="textWrapping"/>
      </w:r>
      <w:r>
        <w:rPr>
          <w:sz w:val="24"/>
          <w:szCs w:val="24"/>
        </w:rPr>
        <w:drawing>
          <wp:inline distT="0" distB="0" distL="0" distR="0">
            <wp:extent cx="3531235" cy="1310640"/>
            <wp:effectExtent l="0" t="0" r="0" b="381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39368" cy="131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outlineLvl w:val="9"/>
        <w:rPr>
          <w:rFonts w:cs="宋体" w:asciiTheme="majorEastAsia" w:hAnsiTheme="majorEastAsia" w:eastAsiaTheme="majorEastAsia"/>
          <w:sz w:val="28"/>
          <w:szCs w:val="28"/>
        </w:rPr>
      </w:pPr>
      <w:r>
        <w:rPr>
          <w:sz w:val="24"/>
          <w:szCs w:val="24"/>
        </w:rPr>
        <w:drawing>
          <wp:inline distT="0" distB="0" distL="0" distR="0">
            <wp:extent cx="3517900" cy="1424940"/>
            <wp:effectExtent l="0" t="0" r="6350" b="381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528973" cy="1429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cs="宋体" w:asciiTheme="majorEastAsia" w:hAnsiTheme="majorEastAsia" w:eastAsiaTheme="majorEastAsia"/>
          <w:sz w:val="28"/>
          <w:szCs w:val="28"/>
        </w:rPr>
      </w:pPr>
      <w:r>
        <w:rPr>
          <w:sz w:val="24"/>
          <w:szCs w:val="24"/>
        </w:rPr>
        <w:drawing>
          <wp:inline distT="0" distB="0" distL="0" distR="0">
            <wp:extent cx="3510915" cy="1226820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529163" cy="1232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cs="宋体" w:asciiTheme="majorEastAsia" w:hAnsiTheme="majorEastAsia" w:eastAsiaTheme="majorEastAsia"/>
          <w:sz w:val="28"/>
          <w:szCs w:val="28"/>
        </w:rPr>
      </w:pPr>
      <w:r>
        <w:rPr>
          <w:sz w:val="24"/>
          <w:szCs w:val="24"/>
        </w:rPr>
        <w:drawing>
          <wp:inline distT="0" distB="0" distL="0" distR="0">
            <wp:extent cx="3532505" cy="1272540"/>
            <wp:effectExtent l="0" t="0" r="0" b="381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540963" cy="1275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cs="宋体" w:asciiTheme="majorEastAsia" w:hAnsiTheme="majorEastAsia" w:eastAsiaTheme="majorEastAsia"/>
          <w:sz w:val="28"/>
          <w:szCs w:val="28"/>
        </w:rPr>
      </w:pPr>
      <w:r>
        <w:rPr>
          <w:sz w:val="24"/>
          <w:szCs w:val="24"/>
        </w:rPr>
        <w:drawing>
          <wp:inline distT="0" distB="0" distL="0" distR="0">
            <wp:extent cx="3488690" cy="1036320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494163" cy="1037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cs="宋体" w:asciiTheme="majorEastAsia" w:hAnsiTheme="majorEastAsia" w:eastAsiaTheme="majorEastAsia"/>
          <w:sz w:val="28"/>
          <w:szCs w:val="28"/>
        </w:rPr>
      </w:pPr>
      <w:r>
        <w:rPr>
          <w:sz w:val="24"/>
          <w:szCs w:val="24"/>
        </w:rPr>
        <w:drawing>
          <wp:inline distT="0" distB="0" distL="0" distR="0">
            <wp:extent cx="3474720" cy="739140"/>
            <wp:effectExtent l="0" t="0" r="0" b="381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504261" cy="745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cs="宋体" w:asciiTheme="majorEastAsia" w:hAnsiTheme="majorEastAsia" w:eastAsiaTheme="majorEastAsia"/>
          <w:sz w:val="28"/>
          <w:szCs w:val="28"/>
        </w:rPr>
      </w:pPr>
      <w:r>
        <w:rPr>
          <w:sz w:val="24"/>
          <w:szCs w:val="24"/>
        </w:rPr>
        <w:drawing>
          <wp:inline distT="0" distB="0" distL="0" distR="0">
            <wp:extent cx="3475990" cy="1257300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483562" cy="1259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Noto Sans Mono CJK JP Bold">
    <w:altName w:val="Calibri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asciiTheme="majorEastAsia" w:hAnsiTheme="majorEastAsia" w:eastAsiaTheme="majorEastAsia" w:cstheme="majorEastAsia"/>
        <w:b/>
        <w:bCs/>
        <w:sz w:val="22"/>
        <w:szCs w:val="22"/>
      </w:rPr>
    </w:pPr>
    <w:r>
      <w:rPr>
        <w:rFonts w:hint="eastAsia" w:asciiTheme="majorEastAsia" w:hAnsiTheme="majorEastAsia" w:eastAsiaTheme="majorEastAsia" w:cstheme="majorEastAsia"/>
        <w:b/>
        <w:bCs/>
        <w:sz w:val="22"/>
        <w:szCs w:val="22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posOffset>5791200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 xml:space="preserve">第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56pt;margin-top:0pt;height:144pt;width:144pt;mso-position-horizontal-relative:margin;mso-wrap-style:none;z-index:251661312;mso-width-relative:page;mso-height-relative:page;" filled="f" stroked="f" coordsize="21600,21600" o:gfxdata="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NmT9LXVAAAACQEAAA8AAAAAAAAAAQAgAAAAIgAAAGRycy9kb3ducmV2&#10;LnhtbFBLAQIUABQAAAAIAIdO4kA54isUOAIAAG8EAAAOAAAAAAAAAAEAIAAAACQBAABkcnMvZTJv&#10;RG9jLnhtbFBLBQYAAAAABgAGAFkBAADO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b/>
                        <w:bCs/>
                        <w:sz w:val="18"/>
                        <w:szCs w:val="18"/>
                      </w:rPr>
                      <w:t xml:space="preserve">第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PAGE  \* MERGEFORMAT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t>1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Theme="majorEastAsia" w:hAnsiTheme="majorEastAsia" w:eastAsiaTheme="majorEastAsia" w:cstheme="majorEastAsia"/>
        <w:b/>
        <w:bCs/>
        <w:sz w:val="22"/>
        <w:szCs w:val="22"/>
      </w:rPr>
      <w:t>官方网站：</w:t>
    </w:r>
    <w:r>
      <w:rPr>
        <w:rFonts w:hint="eastAsia" w:asciiTheme="majorEastAsia" w:hAnsiTheme="majorEastAsia" w:eastAsiaTheme="majorEastAsia" w:cstheme="majorEastAsia"/>
        <w:b/>
        <w:bCs/>
        <w:sz w:val="22"/>
        <w:szCs w:val="22"/>
      </w:rPr>
      <w:fldChar w:fldCharType="begin"/>
    </w:r>
    <w:r>
      <w:rPr>
        <w:rFonts w:hint="eastAsia" w:asciiTheme="majorEastAsia" w:hAnsiTheme="majorEastAsia" w:eastAsiaTheme="majorEastAsia" w:cstheme="majorEastAsia"/>
        <w:b/>
        <w:bCs/>
        <w:sz w:val="22"/>
        <w:szCs w:val="22"/>
      </w:rPr>
      <w:instrText xml:space="preserve"> HYPERLINK "http://www.kinseal.com" </w:instrText>
    </w:r>
    <w:r>
      <w:rPr>
        <w:rFonts w:hint="eastAsia" w:asciiTheme="majorEastAsia" w:hAnsiTheme="majorEastAsia" w:eastAsiaTheme="majorEastAsia" w:cstheme="majorEastAsia"/>
        <w:b/>
        <w:bCs/>
        <w:sz w:val="22"/>
        <w:szCs w:val="22"/>
      </w:rPr>
      <w:fldChar w:fldCharType="separate"/>
    </w:r>
    <w:r>
      <w:rPr>
        <w:rStyle w:val="10"/>
        <w:rFonts w:hint="eastAsia" w:asciiTheme="majorEastAsia" w:hAnsiTheme="majorEastAsia" w:eastAsiaTheme="majorEastAsia" w:cstheme="majorEastAsia"/>
        <w:b/>
        <w:bCs/>
        <w:sz w:val="22"/>
        <w:szCs w:val="22"/>
      </w:rPr>
      <w:t>www.kinseal.com</w:t>
    </w:r>
    <w:r>
      <w:rPr>
        <w:rStyle w:val="10"/>
        <w:rFonts w:hint="eastAsia" w:asciiTheme="majorEastAsia" w:hAnsiTheme="majorEastAsia" w:eastAsiaTheme="majorEastAsia" w:cstheme="majorEastAsia"/>
        <w:b/>
        <w:bCs/>
        <w:sz w:val="22"/>
        <w:szCs w:val="22"/>
      </w:rPr>
      <w:fldChar w:fldCharType="end"/>
    </w:r>
    <w:r>
      <w:rPr>
        <w:rFonts w:hint="eastAsia" w:asciiTheme="majorEastAsia" w:hAnsiTheme="majorEastAsia" w:eastAsiaTheme="majorEastAsia" w:cstheme="majorEastAsia"/>
        <w:b/>
        <w:bCs/>
        <w:sz w:val="22"/>
        <w:szCs w:val="22"/>
      </w:rPr>
      <w:t xml:space="preserve">                            </w:t>
    </w:r>
  </w:p>
  <w:p>
    <w:pPr>
      <w:pStyle w:val="4"/>
      <w:rPr>
        <w:rFonts w:hint="eastAsia" w:asciiTheme="majorEastAsia" w:hAnsiTheme="majorEastAsia" w:eastAsiaTheme="majorEastAsia" w:cstheme="majorEastAsia"/>
        <w:b/>
        <w:bCs/>
        <w:sz w:val="22"/>
        <w:szCs w:val="22"/>
      </w:rPr>
    </w:pPr>
    <w:r>
      <w:rPr>
        <w:rStyle w:val="17"/>
        <w:rFonts w:hint="eastAsia" w:asciiTheme="majorEastAsia" w:hAnsiTheme="majorEastAsia" w:eastAsiaTheme="majorEastAsia" w:cstheme="majorEastAsia"/>
        <w:b/>
        <w:bCs/>
        <w:sz w:val="22"/>
        <w:szCs w:val="22"/>
      </w:rPr>
      <w:t>致佳的</w:t>
    </w:r>
    <w:r>
      <w:rPr>
        <w:rFonts w:hint="eastAsia" w:asciiTheme="majorEastAsia" w:hAnsiTheme="majorEastAsia" w:eastAsiaTheme="majorEastAsia" w:cstheme="majorEastAsia"/>
        <w:b/>
        <w:bCs/>
        <w:sz w:val="22"/>
        <w:szCs w:val="22"/>
      </w:rPr>
      <w:t>智能控制显示终端 让智能控制更简单！</w:t>
    </w:r>
  </w:p>
  <w:p>
    <w:pPr>
      <w:pStyle w:val="4"/>
      <w:rPr>
        <w:sz w:val="22"/>
        <w:szCs w:val="22"/>
      </w:rPr>
    </w:pPr>
    <w:r>
      <w:rPr>
        <w:rFonts w:hint="eastAsia" w:asciiTheme="majorEastAsia" w:hAnsiTheme="majorEastAsia" w:eastAsiaTheme="majorEastAsia" w:cstheme="majorEastAsia"/>
        <w:b/>
        <w:bCs/>
        <w:sz w:val="22"/>
        <w:szCs w:val="22"/>
      </w:rPr>
      <w:t>技术热线：吴工（14704719971）、袁工（18682469902）、林工（14704750497）、陈工（18126349179）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8"/>
      <w:tblpPr w:leftFromText="180" w:rightFromText="180" w:vertAnchor="page" w:horzAnchor="page" w:tblpX="1086" w:tblpY="936"/>
      <w:tblOverlap w:val="never"/>
      <w:tblW w:w="9998" w:type="dxa"/>
      <w:tblInd w:w="0" w:type="dxa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914"/>
      <w:gridCol w:w="3384"/>
      <w:gridCol w:w="2136"/>
      <w:gridCol w:w="2564"/>
    </w:tblGrid>
    <w:tr>
      <w:tblPrEx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497" w:hRule="atLeast"/>
      </w:trPr>
      <w:tc>
        <w:tcPr>
          <w:tcW w:w="1914" w:type="dxa"/>
          <w:vMerge w:val="restart"/>
          <w:vAlign w:val="center"/>
        </w:tcPr>
        <w:p>
          <w:pPr>
            <w:spacing w:line="360" w:lineRule="auto"/>
            <w:ind w:firstLine="2521" w:firstLineChars="1050"/>
            <w:rPr>
              <w:rFonts w:ascii="宋体" w:hAnsi="宋体" w:cs="宋体"/>
              <w:b/>
              <w:bCs/>
              <w:sz w:val="24"/>
            </w:rPr>
          </w:pPr>
          <w:r>
            <w:rPr>
              <w:rFonts w:hint="eastAsia" w:ascii="宋体" w:hAnsi="宋体" w:cs="宋体"/>
              <w:b/>
              <w:bCs/>
              <w:sz w:val="24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80010</wp:posOffset>
                </wp:positionV>
                <wp:extent cx="1167130" cy="463550"/>
                <wp:effectExtent l="0" t="0" r="13970" b="12700"/>
                <wp:wrapNone/>
                <wp:docPr id="2" name="图片 1" descr="公司logo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图片 1" descr="公司logo图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6713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>
          <w:pPr>
            <w:spacing w:line="360" w:lineRule="auto"/>
            <w:ind w:firstLine="2521" w:firstLineChars="1050"/>
            <w:rPr>
              <w:rFonts w:ascii="宋体" w:hAnsi="宋体" w:cs="宋体"/>
              <w:b/>
              <w:bCs/>
              <w:sz w:val="24"/>
            </w:rPr>
          </w:pPr>
        </w:p>
      </w:tc>
      <w:tc>
        <w:tcPr>
          <w:tcW w:w="3384" w:type="dxa"/>
          <w:vMerge w:val="restart"/>
          <w:vAlign w:val="center"/>
        </w:tcPr>
        <w:p>
          <w:pPr>
            <w:spacing w:line="360" w:lineRule="auto"/>
            <w:jc w:val="center"/>
            <w:rPr>
              <w:rFonts w:ascii="宋体" w:hAnsi="宋体" w:cs="宋体"/>
              <w:b/>
              <w:bCs/>
              <w:sz w:val="24"/>
            </w:rPr>
          </w:pPr>
          <w:r>
            <w:rPr>
              <w:rFonts w:hint="eastAsia" w:ascii="宋体" w:hAnsi="宋体" w:cs="宋体"/>
              <w:b/>
              <w:bCs/>
              <w:sz w:val="24"/>
            </w:rPr>
            <w:t>深圳市金玺智控技术有限公司</w:t>
          </w:r>
        </w:p>
      </w:tc>
      <w:tc>
        <w:tcPr>
          <w:tcW w:w="2136" w:type="dxa"/>
          <w:vAlign w:val="center"/>
        </w:tcPr>
        <w:p>
          <w:pPr>
            <w:spacing w:line="360" w:lineRule="auto"/>
            <w:jc w:val="center"/>
            <w:rPr>
              <w:rFonts w:ascii="宋体" w:hAnsi="宋体" w:cs="宋体"/>
              <w:b/>
              <w:bCs/>
              <w:sz w:val="24"/>
            </w:rPr>
          </w:pPr>
          <w:r>
            <w:rPr>
              <w:rFonts w:hint="eastAsia" w:ascii="宋体" w:hAnsi="宋体" w:cs="宋体"/>
              <w:b/>
              <w:bCs/>
              <w:sz w:val="24"/>
            </w:rPr>
            <w:t>文件编号</w:t>
          </w:r>
        </w:p>
      </w:tc>
      <w:tc>
        <w:tcPr>
          <w:tcW w:w="2564" w:type="dxa"/>
          <w:vAlign w:val="center"/>
        </w:tcPr>
        <w:p>
          <w:pPr>
            <w:spacing w:line="360" w:lineRule="auto"/>
            <w:jc w:val="center"/>
            <w:rPr>
              <w:rFonts w:ascii="宋体" w:hAnsi="宋体" w:cs="宋体"/>
              <w:b/>
              <w:bCs/>
              <w:sz w:val="24"/>
            </w:rPr>
          </w:pPr>
        </w:p>
      </w:tc>
    </w:tr>
    <w:tr>
      <w:tblPrEx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497" w:hRule="atLeast"/>
      </w:trPr>
      <w:tc>
        <w:tcPr>
          <w:tcW w:w="1914" w:type="dxa"/>
          <w:vMerge w:val="continue"/>
          <w:vAlign w:val="center"/>
        </w:tcPr>
        <w:p>
          <w:pPr>
            <w:spacing w:line="360" w:lineRule="auto"/>
            <w:ind w:firstLine="2521" w:firstLineChars="1050"/>
            <w:rPr>
              <w:rFonts w:ascii="宋体" w:hAnsi="宋体" w:cs="宋体"/>
              <w:b/>
              <w:bCs/>
              <w:sz w:val="24"/>
            </w:rPr>
          </w:pPr>
        </w:p>
        <w:p>
          <w:pPr>
            <w:spacing w:line="360" w:lineRule="auto"/>
            <w:ind w:firstLine="2521" w:firstLineChars="1050"/>
            <w:rPr>
              <w:rFonts w:ascii="宋体" w:hAnsi="宋体" w:cs="宋体"/>
              <w:b/>
              <w:bCs/>
              <w:sz w:val="24"/>
            </w:rPr>
          </w:pPr>
        </w:p>
        <w:p>
          <w:pPr>
            <w:spacing w:line="360" w:lineRule="auto"/>
            <w:ind w:firstLine="2521" w:firstLineChars="1050"/>
            <w:rPr>
              <w:rFonts w:ascii="宋体" w:hAnsi="宋体" w:cs="宋体"/>
              <w:b/>
              <w:bCs/>
              <w:sz w:val="24"/>
            </w:rPr>
          </w:pPr>
        </w:p>
        <w:p>
          <w:pPr>
            <w:spacing w:line="360" w:lineRule="auto"/>
            <w:ind w:firstLine="2521" w:firstLineChars="1050"/>
            <w:rPr>
              <w:rFonts w:ascii="宋体" w:hAnsi="宋体" w:cs="宋体"/>
              <w:b/>
              <w:bCs/>
              <w:sz w:val="24"/>
            </w:rPr>
          </w:pPr>
        </w:p>
        <w:p>
          <w:pPr>
            <w:spacing w:line="360" w:lineRule="auto"/>
            <w:ind w:firstLine="2521" w:firstLineChars="1050"/>
            <w:rPr>
              <w:rFonts w:ascii="宋体" w:hAnsi="宋体" w:cs="宋体"/>
              <w:b/>
              <w:bCs/>
              <w:sz w:val="24"/>
            </w:rPr>
          </w:pPr>
        </w:p>
        <w:p>
          <w:pPr>
            <w:spacing w:line="360" w:lineRule="auto"/>
            <w:rPr>
              <w:rFonts w:ascii="宋体" w:hAnsi="宋体" w:cs="宋体"/>
              <w:b/>
              <w:bCs/>
              <w:sz w:val="24"/>
            </w:rPr>
          </w:pPr>
        </w:p>
      </w:tc>
      <w:tc>
        <w:tcPr>
          <w:tcW w:w="3384" w:type="dxa"/>
          <w:vMerge w:val="continue"/>
          <w:vAlign w:val="center"/>
        </w:tcPr>
        <w:p>
          <w:pPr>
            <w:spacing w:line="360" w:lineRule="auto"/>
            <w:jc w:val="center"/>
            <w:rPr>
              <w:rFonts w:hint="eastAsia" w:ascii="宋体" w:hAnsi="宋体" w:cs="宋体"/>
              <w:b/>
              <w:bCs/>
              <w:sz w:val="24"/>
            </w:rPr>
          </w:pPr>
        </w:p>
      </w:tc>
      <w:tc>
        <w:tcPr>
          <w:tcW w:w="2136" w:type="dxa"/>
          <w:vAlign w:val="center"/>
        </w:tcPr>
        <w:p>
          <w:pPr>
            <w:spacing w:line="360" w:lineRule="auto"/>
            <w:jc w:val="center"/>
            <w:rPr>
              <w:rFonts w:hint="eastAsia" w:ascii="宋体" w:hAnsi="宋体" w:cs="宋体"/>
              <w:b/>
              <w:bCs/>
              <w:sz w:val="24"/>
            </w:rPr>
          </w:pPr>
        </w:p>
      </w:tc>
      <w:tc>
        <w:tcPr>
          <w:tcW w:w="2564" w:type="dxa"/>
          <w:vAlign w:val="center"/>
        </w:tcPr>
        <w:p>
          <w:pPr>
            <w:spacing w:line="360" w:lineRule="auto"/>
            <w:jc w:val="center"/>
            <w:rPr>
              <w:rFonts w:ascii="宋体" w:hAnsi="宋体" w:cs="宋体"/>
              <w:b/>
              <w:bCs/>
              <w:sz w:val="24"/>
            </w:rPr>
          </w:pPr>
        </w:p>
      </w:tc>
    </w:tr>
    <w:tr>
      <w:tblPrEx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497" w:hRule="atLeast"/>
      </w:trPr>
      <w:tc>
        <w:tcPr>
          <w:tcW w:w="1914" w:type="dxa"/>
          <w:vMerge w:val="continue"/>
          <w:vAlign w:val="center"/>
        </w:tcPr>
        <w:p>
          <w:pPr>
            <w:spacing w:line="360" w:lineRule="auto"/>
            <w:jc w:val="center"/>
            <w:rPr>
              <w:rFonts w:ascii="宋体" w:hAnsi="宋体" w:cs="宋体"/>
              <w:b/>
              <w:bCs/>
              <w:sz w:val="24"/>
            </w:rPr>
          </w:pPr>
        </w:p>
      </w:tc>
      <w:tc>
        <w:tcPr>
          <w:tcW w:w="3384" w:type="dxa"/>
          <w:vMerge w:val="continue"/>
          <w:vAlign w:val="center"/>
        </w:tcPr>
        <w:p>
          <w:pPr>
            <w:spacing w:line="360" w:lineRule="auto"/>
            <w:jc w:val="center"/>
            <w:rPr>
              <w:rFonts w:ascii="宋体" w:hAnsi="宋体" w:cs="宋体"/>
              <w:b/>
              <w:bCs/>
              <w:sz w:val="24"/>
            </w:rPr>
          </w:pPr>
        </w:p>
      </w:tc>
      <w:tc>
        <w:tcPr>
          <w:tcW w:w="2136" w:type="dxa"/>
          <w:vAlign w:val="center"/>
        </w:tcPr>
        <w:p>
          <w:pPr>
            <w:spacing w:line="360" w:lineRule="auto"/>
            <w:jc w:val="center"/>
            <w:rPr>
              <w:rFonts w:ascii="宋体" w:hAnsi="宋体" w:cs="宋体"/>
              <w:b/>
              <w:bCs/>
              <w:sz w:val="24"/>
            </w:rPr>
          </w:pPr>
          <w:r>
            <w:rPr>
              <w:rFonts w:hint="eastAsia" w:ascii="宋体" w:hAnsi="宋体" w:cs="宋体"/>
              <w:b/>
              <w:bCs/>
              <w:sz w:val="24"/>
            </w:rPr>
            <w:t>文件版本</w:t>
          </w:r>
        </w:p>
      </w:tc>
      <w:tc>
        <w:tcPr>
          <w:tcW w:w="2564" w:type="dxa"/>
          <w:vAlign w:val="center"/>
        </w:tcPr>
        <w:p>
          <w:pPr>
            <w:spacing w:line="360" w:lineRule="auto"/>
            <w:jc w:val="center"/>
            <w:rPr>
              <w:rFonts w:ascii="宋体" w:hAnsi="宋体" w:cs="宋体"/>
              <w:b/>
              <w:bCs/>
              <w:sz w:val="24"/>
            </w:rPr>
          </w:pPr>
          <w:r>
            <w:rPr>
              <w:rFonts w:hint="eastAsia" w:ascii="宋体" w:hAnsi="宋体" w:cs="宋体"/>
              <w:b/>
              <w:bCs/>
              <w:sz w:val="24"/>
            </w:rPr>
            <w:t>A/0</w:t>
          </w:r>
        </w:p>
      </w:tc>
    </w:tr>
    <w:tr>
      <w:tblPrEx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472" w:hRule="atLeast"/>
      </w:trPr>
      <w:tc>
        <w:tcPr>
          <w:tcW w:w="1914" w:type="dxa"/>
          <w:vAlign w:val="center"/>
        </w:tcPr>
        <w:p>
          <w:pPr>
            <w:spacing w:line="360" w:lineRule="auto"/>
            <w:ind w:firstLine="480" w:firstLineChars="200"/>
            <w:jc w:val="center"/>
            <w:rPr>
              <w:rFonts w:ascii="宋体" w:hAnsi="宋体" w:cs="宋体"/>
              <w:b/>
              <w:bCs/>
              <w:sz w:val="24"/>
            </w:rPr>
          </w:pPr>
          <w:r>
            <w:rPr>
              <w:rFonts w:hint="eastAsia" w:ascii="宋体" w:hAnsi="宋体" w:cs="宋体"/>
              <w:b/>
              <w:bCs/>
              <w:sz w:val="24"/>
            </w:rPr>
            <w:t>文件名称</w:t>
          </w:r>
        </w:p>
      </w:tc>
      <w:tc>
        <w:tcPr>
          <w:tcW w:w="3384" w:type="dxa"/>
          <w:vAlign w:val="center"/>
        </w:tcPr>
        <w:p>
          <w:pPr>
            <w:jc w:val="center"/>
            <w:rPr>
              <w:rFonts w:hint="default" w:ascii="宋体" w:hAnsi="宋体" w:eastAsia="宋体" w:cs="宋体"/>
              <w:b/>
              <w:bCs/>
              <w:sz w:val="24"/>
              <w:lang w:val="en-US" w:eastAsia="zh-CN"/>
            </w:rPr>
          </w:pPr>
          <w:r>
            <w:rPr>
              <w:rFonts w:hint="eastAsia" w:ascii="微软雅黑" w:hAnsi="微软雅黑"/>
              <w:b/>
              <w:bCs/>
              <w:color w:val="auto"/>
              <w:sz w:val="24"/>
              <w:szCs w:val="24"/>
              <w:highlight w:val="none"/>
              <w:shd w:val="clear" w:color="auto" w:fill="FBFBFB"/>
              <w:lang w:val="en-US" w:eastAsia="zh-CN"/>
            </w:rPr>
            <w:t>自定义协议使用指南</w:t>
          </w:r>
        </w:p>
      </w:tc>
      <w:tc>
        <w:tcPr>
          <w:tcW w:w="2136" w:type="dxa"/>
          <w:vAlign w:val="center"/>
        </w:tcPr>
        <w:p>
          <w:pPr>
            <w:spacing w:line="360" w:lineRule="auto"/>
            <w:jc w:val="center"/>
            <w:rPr>
              <w:rFonts w:ascii="宋体" w:hAnsi="宋体" w:cs="宋体"/>
              <w:b/>
              <w:bCs/>
              <w:sz w:val="24"/>
            </w:rPr>
          </w:pPr>
          <w:r>
            <w:rPr>
              <w:rFonts w:hint="eastAsia" w:ascii="宋体" w:hAnsi="宋体" w:cs="宋体"/>
              <w:b/>
              <w:bCs/>
              <w:sz w:val="24"/>
            </w:rPr>
            <w:t>生效日期</w:t>
          </w:r>
        </w:p>
      </w:tc>
      <w:tc>
        <w:tcPr>
          <w:tcW w:w="2564" w:type="dxa"/>
          <w:vAlign w:val="center"/>
        </w:tcPr>
        <w:p>
          <w:pPr>
            <w:tabs>
              <w:tab w:val="center" w:pos="1198"/>
              <w:tab w:val="right" w:pos="2276"/>
            </w:tabs>
            <w:spacing w:line="360" w:lineRule="auto"/>
            <w:jc w:val="left"/>
            <w:rPr>
              <w:rFonts w:hint="eastAsia" w:ascii="宋体" w:hAnsi="宋体" w:cs="宋体" w:eastAsiaTheme="minorEastAsia"/>
              <w:b/>
              <w:bCs/>
              <w:sz w:val="24"/>
              <w:lang w:eastAsia="zh-CN"/>
            </w:rPr>
          </w:pPr>
          <w:r>
            <w:rPr>
              <w:rFonts w:hint="eastAsia" w:ascii="宋体" w:hAnsi="宋体" w:cs="宋体"/>
              <w:b/>
              <w:bCs/>
              <w:sz w:val="24"/>
              <w:lang w:eastAsia="zh-CN"/>
            </w:rPr>
            <w:tab/>
          </w:r>
          <w:r>
            <w:rPr>
              <w:rFonts w:hint="eastAsia" w:ascii="宋体" w:hAnsi="宋体" w:cs="宋体"/>
              <w:b/>
              <w:bCs/>
              <w:sz w:val="24"/>
            </w:rPr>
            <w:t>2021-7-</w:t>
          </w:r>
          <w:r>
            <w:rPr>
              <w:rFonts w:hint="eastAsia" w:ascii="宋体" w:hAnsi="宋体" w:cs="宋体"/>
              <w:b/>
              <w:bCs/>
              <w:sz w:val="24"/>
              <w:lang w:val="en-US" w:eastAsia="zh-CN"/>
            </w:rPr>
            <w:t>7</w:t>
          </w:r>
          <w:r>
            <w:rPr>
              <w:rFonts w:hint="eastAsia" w:ascii="宋体" w:hAnsi="宋体" w:cs="宋体"/>
              <w:b/>
              <w:bCs/>
              <w:sz w:val="24"/>
              <w:lang w:eastAsia="zh-CN"/>
            </w:rPr>
            <w:tab/>
          </w:r>
        </w:p>
      </w:tc>
    </w:tr>
  </w:tbl>
  <w:p>
    <w:pPr>
      <w:pStyle w:val="5"/>
    </w:pPr>
  </w:p>
  <w:p>
    <w:pPr>
      <w:pStyle w:val="5"/>
    </w:pPr>
  </w:p>
  <w:p>
    <w:pPr>
      <w:pStyle w:val="5"/>
    </w:pPr>
  </w:p>
  <w:p>
    <w:pPr>
      <w:pStyle w:val="5"/>
    </w:pPr>
  </w:p>
  <w:p>
    <w:pPr>
      <w:pStyle w:val="5"/>
    </w:pPr>
  </w:p>
  <w:p>
    <w:pPr>
      <w:pStyle w:val="5"/>
    </w:pPr>
  </w:p>
  <w:p>
    <w:pPr>
      <w:pStyle w:val="5"/>
    </w:pPr>
  </w:p>
  <w:p>
    <w:pPr>
      <w:pStyle w:val="5"/>
    </w:pPr>
  </w:p>
  <w:p>
    <w:pPr>
      <w:pStyle w:val="5"/>
    </w:pPr>
  </w:p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EE8"/>
    <w:rsid w:val="000D55FD"/>
    <w:rsid w:val="00173F13"/>
    <w:rsid w:val="001B4D99"/>
    <w:rsid w:val="003944E1"/>
    <w:rsid w:val="00437744"/>
    <w:rsid w:val="004A3EE8"/>
    <w:rsid w:val="007052F3"/>
    <w:rsid w:val="00972F83"/>
    <w:rsid w:val="00B87CC9"/>
    <w:rsid w:val="00B96345"/>
    <w:rsid w:val="00C333C9"/>
    <w:rsid w:val="00E33078"/>
    <w:rsid w:val="00F24E59"/>
    <w:rsid w:val="763B2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Noto Sans Mono CJK JP Bold" w:hAnsi="Noto Sans Mono CJK JP Bold" w:eastAsia="Noto Sans Mono CJK JP Bold" w:cs="Noto Sans Mono CJK JP Bold"/>
      <w:kern w:val="0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3"/>
    <w:qFormat/>
    <w:uiPriority w:val="1"/>
    <w:rPr>
      <w:sz w:val="21"/>
      <w:szCs w:val="21"/>
    </w:rPr>
  </w:style>
  <w:style w:type="paragraph" w:styleId="3">
    <w:name w:val="toc 3"/>
    <w:basedOn w:val="1"/>
    <w:next w:val="1"/>
    <w:semiHidden/>
    <w:unhideWhenUsed/>
    <w:uiPriority w:val="39"/>
    <w:pPr>
      <w:ind w:left="840" w:leftChars="400"/>
    </w:p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semiHidden/>
    <w:unhideWhenUsed/>
    <w:uiPriority w:val="39"/>
  </w:style>
  <w:style w:type="paragraph" w:styleId="7">
    <w:name w:val="toc 2"/>
    <w:basedOn w:val="1"/>
    <w:next w:val="1"/>
    <w:semiHidden/>
    <w:unhideWhenUsed/>
    <w:uiPriority w:val="39"/>
    <w:pPr>
      <w:ind w:left="420" w:leftChars="200"/>
    </w:p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正文文本 字符"/>
    <w:basedOn w:val="9"/>
    <w:link w:val="2"/>
    <w:qFormat/>
    <w:uiPriority w:val="1"/>
    <w:rPr>
      <w:rFonts w:ascii="Noto Sans Mono CJK JP Bold" w:hAnsi="Noto Sans Mono CJK JP Bold" w:eastAsia="Noto Sans Mono CJK JP Bold" w:cs="Noto Sans Mono CJK JP Bold"/>
      <w:kern w:val="0"/>
      <w:szCs w:val="21"/>
    </w:rPr>
  </w:style>
  <w:style w:type="table" w:customStyle="1" w:styleId="14">
    <w:name w:val="Table Normal"/>
    <w:semiHidden/>
    <w:unhideWhenUsed/>
    <w:qFormat/>
    <w:uiPriority w:val="2"/>
    <w:pPr>
      <w:widowControl w:val="0"/>
      <w:autoSpaceDE w:val="0"/>
      <w:autoSpaceDN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paragraph" w:customStyle="1" w:styleId="16">
    <w:name w:val="Table Paragraph"/>
    <w:basedOn w:val="1"/>
    <w:qFormat/>
    <w:uiPriority w:val="1"/>
    <w:pPr>
      <w:spacing w:line="361" w:lineRule="exact"/>
      <w:ind w:left="56"/>
    </w:pPr>
  </w:style>
  <w:style w:type="character" w:customStyle="1" w:styleId="17">
    <w:name w:val="51"/>
    <w:basedOn w:val="9"/>
    <w:qFormat/>
    <w:uiPriority w:val="0"/>
    <w:rPr>
      <w:rFonts w:hint="default" w:ascii="Times New Roman" w:hAnsi="Times New Roman" w:cs="Times New Roman"/>
    </w:rPr>
  </w:style>
  <w:style w:type="paragraph" w:customStyle="1" w:styleId="18">
    <w:name w:val="WPSOffice手动目录 1"/>
    <w:uiPriority w:val="0"/>
    <w:pPr>
      <w:ind w:leftChars="0"/>
    </w:pPr>
    <w:rPr>
      <w:sz w:val="20"/>
      <w:szCs w:val="20"/>
    </w:rPr>
  </w:style>
  <w:style w:type="paragraph" w:customStyle="1" w:styleId="19">
    <w:name w:val="WPSOffice手动目录 2"/>
    <w:uiPriority w:val="0"/>
    <w:pPr>
      <w:ind w:leftChars="200"/>
    </w:pPr>
    <w:rPr>
      <w:sz w:val="20"/>
      <w:szCs w:val="20"/>
    </w:rPr>
  </w:style>
  <w:style w:type="paragraph" w:customStyle="1" w:styleId="20">
    <w:name w:val="WPSOffice手动目录 3"/>
    <w:uiPriority w:val="0"/>
    <w:pPr>
      <w:ind w:leftChars="400"/>
    </w:pPr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2" Type="http://schemas.openxmlformats.org/officeDocument/2006/relationships/fontTable" Target="fontTable.xml"/><Relationship Id="rId41" Type="http://schemas.openxmlformats.org/officeDocument/2006/relationships/customXml" Target="../customXml/item1.xml"/><Relationship Id="rId40" Type="http://schemas.openxmlformats.org/officeDocument/2006/relationships/image" Target="media/image36.png"/><Relationship Id="rId4" Type="http://schemas.openxmlformats.org/officeDocument/2006/relationships/footer" Target="footer1.xml"/><Relationship Id="rId39" Type="http://schemas.openxmlformats.org/officeDocument/2006/relationships/image" Target="media/image35.png"/><Relationship Id="rId38" Type="http://schemas.openxmlformats.org/officeDocument/2006/relationships/image" Target="media/image34.png"/><Relationship Id="rId37" Type="http://schemas.openxmlformats.org/officeDocument/2006/relationships/image" Target="media/image33.png"/><Relationship Id="rId36" Type="http://schemas.openxmlformats.org/officeDocument/2006/relationships/image" Target="media/image32.png"/><Relationship Id="rId35" Type="http://schemas.openxmlformats.org/officeDocument/2006/relationships/image" Target="media/image31.png"/><Relationship Id="rId34" Type="http://schemas.openxmlformats.org/officeDocument/2006/relationships/image" Target="media/image30.png"/><Relationship Id="rId33" Type="http://schemas.openxmlformats.org/officeDocument/2006/relationships/image" Target="media/image29.png"/><Relationship Id="rId32" Type="http://schemas.openxmlformats.org/officeDocument/2006/relationships/image" Target="media/image28.png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header" Target="head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337</Words>
  <Characters>1927</Characters>
  <Lines>16</Lines>
  <Paragraphs>4</Paragraphs>
  <TotalTime>1</TotalTime>
  <ScaleCrop>false</ScaleCrop>
  <LinksUpToDate>false</LinksUpToDate>
  <CharactersWithSpaces>2260</CharactersWithSpaces>
  <Application>WPS Office_11.1.0.10650_F1E327BC-269C-435d-A152-05C5408002CA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2021-05-21T01:21:00Z</dcterms:created>
  <dc:creator>一笑</dc:creator>
  <cp:lastModifiedBy>DELL</cp:lastModifiedBy>
  <dcterms:modified xsi:type="dcterms:W3CDTF">2021-08-03T12:22:30Z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2052-11.1.0.10650</vt:lpwstr>
  </property>
  <property fmtid="{D5CDD505-2E9C-101B-9397-08002B2CF9AE}" pid="3" name="ICV">
    <vt:lpwstr>DDD4D367C0ED4763A6249B61139116EF</vt:lpwstr>
  </property>
</Properties>
</file>